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3DB2" w:rsidRDefault="003634CD" w:rsidP="00593DB2">
      <w:pPr>
        <w:spacing w:after="0" w:line="240" w:lineRule="auto"/>
        <w:jc w:val="center"/>
        <w:rPr>
          <w:rFonts w:ascii="Times New Roman" w:hAnsi="Times New Roman"/>
          <w:b/>
          <w:sz w:val="24"/>
          <w:szCs w:val="24"/>
        </w:rPr>
      </w:pPr>
      <w:r>
        <w:rPr>
          <w:rFonts w:ascii="Times New Roman" w:hAnsi="Times New Roman"/>
          <w:b/>
          <w:sz w:val="24"/>
          <w:szCs w:val="24"/>
        </w:rPr>
        <w:t>“J</w:t>
      </w:r>
      <w:r w:rsidRPr="009B31B8">
        <w:rPr>
          <w:rFonts w:ascii="Times New Roman" w:hAnsi="Times New Roman"/>
          <w:b/>
          <w:sz w:val="24"/>
          <w:szCs w:val="24"/>
        </w:rPr>
        <w:t>uremos ser catholicos!”: o estabelecimento de bases ideológicas par</w:t>
      </w:r>
      <w:r>
        <w:rPr>
          <w:rFonts w:ascii="Times New Roman" w:hAnsi="Times New Roman"/>
          <w:b/>
          <w:sz w:val="24"/>
          <w:szCs w:val="24"/>
        </w:rPr>
        <w:t>a a construção e manutenção do Império do Brasil na Assembleia Geral C</w:t>
      </w:r>
      <w:r w:rsidRPr="009B31B8">
        <w:rPr>
          <w:rFonts w:ascii="Times New Roman" w:hAnsi="Times New Roman"/>
          <w:b/>
          <w:sz w:val="24"/>
          <w:szCs w:val="24"/>
        </w:rPr>
        <w:t>onstituinte – 182</w:t>
      </w:r>
      <w:r>
        <w:rPr>
          <w:rFonts w:ascii="Times New Roman" w:hAnsi="Times New Roman"/>
          <w:b/>
          <w:sz w:val="24"/>
          <w:szCs w:val="24"/>
        </w:rPr>
        <w:t>3</w:t>
      </w:r>
      <w:r w:rsidR="00593DB2">
        <w:rPr>
          <w:rStyle w:val="Refdenotaderodap"/>
          <w:rFonts w:ascii="Times New Roman" w:hAnsi="Times New Roman"/>
          <w:b/>
          <w:sz w:val="24"/>
          <w:szCs w:val="24"/>
        </w:rPr>
        <w:footnoteReference w:id="2"/>
      </w:r>
    </w:p>
    <w:p w:rsidR="003634CD" w:rsidRDefault="003634CD" w:rsidP="00593DB2">
      <w:pPr>
        <w:tabs>
          <w:tab w:val="center" w:pos="4252"/>
        </w:tabs>
        <w:spacing w:after="0" w:line="360" w:lineRule="auto"/>
        <w:jc w:val="right"/>
        <w:rPr>
          <w:rFonts w:ascii="Times New Roman" w:hAnsi="Times New Roman"/>
          <w:sz w:val="24"/>
          <w:szCs w:val="24"/>
        </w:rPr>
      </w:pPr>
    </w:p>
    <w:p w:rsidR="00593DB2" w:rsidRPr="009B31B8" w:rsidRDefault="00593DB2" w:rsidP="00593DB2">
      <w:pPr>
        <w:tabs>
          <w:tab w:val="center" w:pos="4252"/>
        </w:tabs>
        <w:spacing w:after="0" w:line="360" w:lineRule="auto"/>
        <w:jc w:val="right"/>
        <w:rPr>
          <w:rFonts w:ascii="Times New Roman" w:hAnsi="Times New Roman"/>
          <w:sz w:val="24"/>
          <w:szCs w:val="24"/>
        </w:rPr>
      </w:pPr>
      <w:r w:rsidRPr="009B31B8">
        <w:rPr>
          <w:rFonts w:ascii="Times New Roman" w:hAnsi="Times New Roman"/>
          <w:sz w:val="24"/>
          <w:szCs w:val="24"/>
        </w:rPr>
        <w:t>Alisson Pereira Silva (UFCG/Cnpq)</w:t>
      </w:r>
      <w:r>
        <w:rPr>
          <w:rStyle w:val="Refdenotadefim"/>
          <w:rFonts w:ascii="Times New Roman" w:hAnsi="Times New Roman"/>
          <w:sz w:val="24"/>
          <w:szCs w:val="24"/>
        </w:rPr>
        <w:endnoteReference w:customMarkFollows="1" w:id="2"/>
        <w:t>*</w:t>
      </w:r>
    </w:p>
    <w:p w:rsidR="00593DB2" w:rsidRDefault="00593DB2" w:rsidP="00A3480E">
      <w:pPr>
        <w:spacing w:after="0" w:line="240" w:lineRule="auto"/>
        <w:jc w:val="both"/>
      </w:pPr>
    </w:p>
    <w:p w:rsidR="00593DB2" w:rsidRDefault="00593DB2" w:rsidP="00593DB2">
      <w:pPr>
        <w:spacing w:after="0" w:line="240" w:lineRule="auto"/>
        <w:ind w:firstLine="708"/>
        <w:jc w:val="both"/>
      </w:pPr>
    </w:p>
    <w:p w:rsidR="00593DB2" w:rsidRPr="003634CD" w:rsidRDefault="00593DB2" w:rsidP="00593DB2">
      <w:pPr>
        <w:spacing w:after="0" w:line="240" w:lineRule="auto"/>
        <w:jc w:val="both"/>
        <w:rPr>
          <w:rFonts w:ascii="Times New Roman" w:hAnsi="Times New Roman"/>
          <w:b/>
        </w:rPr>
      </w:pPr>
      <w:r w:rsidRPr="00654824">
        <w:rPr>
          <w:rFonts w:ascii="Times New Roman" w:hAnsi="Times New Roman"/>
          <w:b/>
        </w:rPr>
        <w:t>Resumo</w:t>
      </w:r>
      <w:r w:rsidR="003634CD">
        <w:rPr>
          <w:rFonts w:ascii="Times New Roman" w:hAnsi="Times New Roman"/>
          <w:b/>
        </w:rPr>
        <w:t xml:space="preserve">: </w:t>
      </w:r>
      <w:r w:rsidRPr="00654824">
        <w:rPr>
          <w:rFonts w:ascii="Times New Roman" w:hAnsi="Times New Roman"/>
        </w:rPr>
        <w:t>A partir de 1822, o Brasil teve um desafio: construir bases sólidas para a sustentabilidade da nação. Foi necessário demarcar os limites do que seria</w:t>
      </w:r>
      <w:r>
        <w:rPr>
          <w:rFonts w:ascii="Times New Roman" w:hAnsi="Times New Roman"/>
        </w:rPr>
        <w:t>m</w:t>
      </w:r>
      <w:r w:rsidRPr="00654824">
        <w:rPr>
          <w:rFonts w:ascii="Times New Roman" w:hAnsi="Times New Roman"/>
        </w:rPr>
        <w:t xml:space="preserve"> ou não as ideias legitimadoras da ordem que se estabeleceria no Império. Neste sentido, alguns Parlamentares se preocuparam em construir uma unidade ideológica, a fim de que concepções heterodoxas não estabelecessem o que eles chamavam de </w:t>
      </w:r>
      <w:r w:rsidRPr="00654824">
        <w:rPr>
          <w:rFonts w:ascii="Times New Roman" w:hAnsi="Times New Roman"/>
          <w:i/>
        </w:rPr>
        <w:t>liberdade licenciosa</w:t>
      </w:r>
      <w:r w:rsidRPr="00654824">
        <w:rPr>
          <w:rFonts w:ascii="Times New Roman" w:hAnsi="Times New Roman"/>
        </w:rPr>
        <w:t xml:space="preserve"> e a consequente </w:t>
      </w:r>
      <w:r w:rsidRPr="00654824">
        <w:rPr>
          <w:rFonts w:ascii="Times New Roman" w:hAnsi="Times New Roman"/>
          <w:i/>
        </w:rPr>
        <w:t>anarquia</w:t>
      </w:r>
      <w:r w:rsidRPr="00654824">
        <w:rPr>
          <w:rFonts w:ascii="Times New Roman" w:hAnsi="Times New Roman"/>
        </w:rPr>
        <w:t>. Inferimos que tais conceitos eram associados ao pensamento da Reforma Protestante. Este artigo pretende mostrar a dinâmica destes debates, apontando para a existência de certa militância contra o protestantismo. Enquanto ideologia política, ele foi percebido e combatido, para que o status quo, assegurado pelo Catolicismo, pudesse ser mantido.</w:t>
      </w:r>
    </w:p>
    <w:p w:rsidR="00593DB2" w:rsidRPr="00654824" w:rsidRDefault="00593DB2" w:rsidP="00593DB2">
      <w:pPr>
        <w:spacing w:after="0" w:line="240" w:lineRule="auto"/>
        <w:jc w:val="both"/>
        <w:rPr>
          <w:rFonts w:ascii="Times New Roman" w:hAnsi="Times New Roman"/>
        </w:rPr>
      </w:pPr>
    </w:p>
    <w:p w:rsidR="00593DB2" w:rsidRPr="00654824" w:rsidRDefault="00593DB2" w:rsidP="00593DB2">
      <w:pPr>
        <w:spacing w:after="0" w:line="240" w:lineRule="auto"/>
        <w:jc w:val="both"/>
        <w:rPr>
          <w:rFonts w:ascii="Times New Roman" w:hAnsi="Times New Roman"/>
          <w:i/>
        </w:rPr>
      </w:pPr>
      <w:r w:rsidRPr="00654824">
        <w:rPr>
          <w:rFonts w:ascii="Times New Roman" w:hAnsi="Times New Roman"/>
          <w:b/>
        </w:rPr>
        <w:t>Palavras-chave</w:t>
      </w:r>
      <w:r w:rsidRPr="00654824">
        <w:rPr>
          <w:rFonts w:ascii="Times New Roman" w:hAnsi="Times New Roman"/>
        </w:rPr>
        <w:t xml:space="preserve">: </w:t>
      </w:r>
      <w:r w:rsidRPr="003634CD">
        <w:rPr>
          <w:rFonts w:ascii="Times New Roman" w:hAnsi="Times New Roman"/>
        </w:rPr>
        <w:t>Protestantismo, política, Catolicismo</w:t>
      </w:r>
      <w:r w:rsidR="003634CD">
        <w:rPr>
          <w:rFonts w:ascii="Times New Roman" w:hAnsi="Times New Roman"/>
        </w:rPr>
        <w:t>.</w:t>
      </w:r>
    </w:p>
    <w:p w:rsidR="00593DB2" w:rsidRPr="00654824" w:rsidRDefault="00593DB2" w:rsidP="00593DB2">
      <w:pPr>
        <w:spacing w:after="0" w:line="240" w:lineRule="auto"/>
        <w:jc w:val="both"/>
        <w:rPr>
          <w:rFonts w:ascii="Times New Roman" w:hAnsi="Times New Roman"/>
          <w:i/>
        </w:rPr>
      </w:pPr>
    </w:p>
    <w:p w:rsidR="00593DB2" w:rsidRPr="00654824" w:rsidRDefault="00593DB2" w:rsidP="00593DB2">
      <w:pPr>
        <w:spacing w:after="0" w:line="240" w:lineRule="auto"/>
        <w:jc w:val="both"/>
        <w:rPr>
          <w:rFonts w:ascii="Times New Roman" w:hAnsi="Times New Roman"/>
        </w:rPr>
      </w:pPr>
    </w:p>
    <w:p w:rsidR="00593DB2" w:rsidRPr="00A3480E" w:rsidRDefault="00593DB2" w:rsidP="00593DB2">
      <w:pPr>
        <w:spacing w:after="0" w:line="240" w:lineRule="auto"/>
        <w:jc w:val="both"/>
        <w:rPr>
          <w:rFonts w:ascii="Times New Roman" w:hAnsi="Times New Roman"/>
          <w:b/>
          <w:lang w:val="en-US"/>
        </w:rPr>
      </w:pPr>
      <w:r w:rsidRPr="003634CD">
        <w:rPr>
          <w:rFonts w:ascii="Times New Roman" w:hAnsi="Times New Roman"/>
          <w:b/>
          <w:lang w:val="en-US"/>
        </w:rPr>
        <w:t>Abstract</w:t>
      </w:r>
      <w:r w:rsidR="003634CD" w:rsidRPr="003634CD">
        <w:rPr>
          <w:rFonts w:ascii="Times New Roman" w:hAnsi="Times New Roman"/>
          <w:b/>
          <w:lang w:val="en-US"/>
        </w:rPr>
        <w:t xml:space="preserve">: </w:t>
      </w:r>
      <w:r w:rsidRPr="003E6C9B">
        <w:rPr>
          <w:rFonts w:ascii="Times New Roman" w:hAnsi="Times New Roman"/>
          <w:lang w:val="en-US"/>
        </w:rPr>
        <w:t xml:space="preserve">Since 1822, Brazil had a challenge: to build strong foundations for a sustainable nation. It was necessary to demarcate the boundaries of what would or would not legitimizing the ideas of order that would settle in the Empire. In this sense, some Parliamentarians bother to build an ideological unity, so that heterodox conceptions not establish what they called </w:t>
      </w:r>
      <w:r w:rsidRPr="003E6C9B">
        <w:rPr>
          <w:rFonts w:ascii="Times New Roman" w:hAnsi="Times New Roman"/>
          <w:i/>
          <w:lang w:val="en-US"/>
        </w:rPr>
        <w:t>licentious</w:t>
      </w:r>
      <w:r w:rsidRPr="003E6C9B">
        <w:rPr>
          <w:rFonts w:ascii="Times New Roman" w:hAnsi="Times New Roman"/>
          <w:lang w:val="en-US"/>
        </w:rPr>
        <w:t xml:space="preserve"> </w:t>
      </w:r>
      <w:r w:rsidRPr="003E6C9B">
        <w:rPr>
          <w:rFonts w:ascii="Times New Roman" w:hAnsi="Times New Roman"/>
          <w:i/>
          <w:lang w:val="en-US"/>
        </w:rPr>
        <w:t xml:space="preserve">freedom </w:t>
      </w:r>
      <w:r w:rsidRPr="003E6C9B">
        <w:rPr>
          <w:rFonts w:ascii="Times New Roman" w:hAnsi="Times New Roman"/>
          <w:lang w:val="en-US"/>
        </w:rPr>
        <w:t xml:space="preserve">and the resulting </w:t>
      </w:r>
      <w:r w:rsidRPr="003E6C9B">
        <w:rPr>
          <w:rFonts w:ascii="Times New Roman" w:hAnsi="Times New Roman"/>
          <w:i/>
          <w:lang w:val="en-US"/>
        </w:rPr>
        <w:t>anarchy</w:t>
      </w:r>
      <w:r w:rsidRPr="003E6C9B">
        <w:rPr>
          <w:rFonts w:ascii="Times New Roman" w:hAnsi="Times New Roman"/>
          <w:lang w:val="en-US"/>
        </w:rPr>
        <w:t>.</w:t>
      </w:r>
      <w:r w:rsidRPr="00654824">
        <w:rPr>
          <w:rFonts w:ascii="Times New Roman" w:hAnsi="Times New Roman"/>
          <w:lang w:val="en-US"/>
        </w:rPr>
        <w:t xml:space="preserve"> </w:t>
      </w:r>
      <w:r w:rsidRPr="003E6C9B">
        <w:rPr>
          <w:rFonts w:ascii="Times New Roman" w:hAnsi="Times New Roman"/>
          <w:lang w:val="en-US"/>
        </w:rPr>
        <w:t xml:space="preserve">We infer that such concepts were associated with the thought of the Protestant Reformation. This article shows the dynamics of these debates, pointing to the existence of a certain militancy against Protestantism. While political ideology, it was perceived and fought for the </w:t>
      </w:r>
      <w:r>
        <w:rPr>
          <w:rFonts w:ascii="Times New Roman" w:hAnsi="Times New Roman"/>
          <w:lang w:val="en-US"/>
        </w:rPr>
        <w:t>establishment</w:t>
      </w:r>
      <w:r w:rsidRPr="003E6C9B">
        <w:rPr>
          <w:rFonts w:ascii="Times New Roman" w:hAnsi="Times New Roman"/>
          <w:lang w:val="en-US"/>
        </w:rPr>
        <w:t>, provided by Catholicism, could be maintained.</w:t>
      </w:r>
    </w:p>
    <w:p w:rsidR="00593DB2" w:rsidRDefault="00593DB2" w:rsidP="00593DB2">
      <w:pPr>
        <w:spacing w:after="0" w:line="240" w:lineRule="auto"/>
        <w:jc w:val="both"/>
        <w:rPr>
          <w:rFonts w:ascii="Times New Roman" w:hAnsi="Times New Roman"/>
          <w:lang w:val="en-US"/>
        </w:rPr>
      </w:pPr>
    </w:p>
    <w:p w:rsidR="00593DB2" w:rsidRPr="003634CD" w:rsidRDefault="00593DB2" w:rsidP="00593DB2">
      <w:pPr>
        <w:spacing w:after="0" w:line="240" w:lineRule="auto"/>
        <w:jc w:val="both"/>
        <w:rPr>
          <w:rFonts w:ascii="Times New Roman" w:hAnsi="Times New Roman"/>
        </w:rPr>
      </w:pPr>
      <w:r w:rsidRPr="00593DB2">
        <w:rPr>
          <w:rFonts w:ascii="Times New Roman" w:hAnsi="Times New Roman"/>
          <w:b/>
        </w:rPr>
        <w:t>Keywords</w:t>
      </w:r>
      <w:r w:rsidRPr="00593DB2">
        <w:rPr>
          <w:rFonts w:ascii="Times New Roman" w:hAnsi="Times New Roman"/>
        </w:rPr>
        <w:t xml:space="preserve">: </w:t>
      </w:r>
      <w:r w:rsidRPr="003634CD">
        <w:rPr>
          <w:rFonts w:ascii="Times New Roman" w:hAnsi="Times New Roman"/>
        </w:rPr>
        <w:t>Protestantism, politics, Catholicism.</w:t>
      </w:r>
    </w:p>
    <w:p w:rsidR="00593DB2" w:rsidRPr="003634CD" w:rsidRDefault="00593DB2" w:rsidP="00593DB2">
      <w:pPr>
        <w:spacing w:after="0" w:line="240" w:lineRule="auto"/>
        <w:ind w:firstLine="708"/>
        <w:jc w:val="both"/>
      </w:pPr>
    </w:p>
    <w:p w:rsidR="00593DB2" w:rsidRDefault="00593DB2" w:rsidP="00593DB2">
      <w:pPr>
        <w:spacing w:after="0" w:line="240" w:lineRule="auto"/>
        <w:ind w:firstLine="708"/>
        <w:jc w:val="both"/>
      </w:pPr>
    </w:p>
    <w:p w:rsidR="00593DB2" w:rsidRDefault="00593DB2" w:rsidP="00593DB2">
      <w:pPr>
        <w:spacing w:after="0" w:line="240" w:lineRule="auto"/>
        <w:ind w:firstLine="708"/>
        <w:jc w:val="both"/>
      </w:pPr>
    </w:p>
    <w:p w:rsidR="00593DB2" w:rsidRPr="003E6C9B" w:rsidRDefault="00593DB2" w:rsidP="00593DB2">
      <w:pPr>
        <w:spacing w:after="0" w:line="360" w:lineRule="auto"/>
        <w:ind w:firstLine="708"/>
        <w:jc w:val="both"/>
        <w:rPr>
          <w:rFonts w:ascii="Times New Roman" w:hAnsi="Times New Roman"/>
          <w:sz w:val="24"/>
          <w:szCs w:val="24"/>
        </w:rPr>
      </w:pPr>
      <w:r w:rsidRPr="003E6C9B">
        <w:rPr>
          <w:rFonts w:ascii="Times New Roman" w:hAnsi="Times New Roman"/>
          <w:sz w:val="24"/>
          <w:szCs w:val="24"/>
        </w:rPr>
        <w:t>Uma das palavras que recorreremos com certa frequência em nosso estudo, sem sombra de dúvidas, é o termo ideologia. Para tanto, é necessário acertar as contas com o leitor, através de uma pequena digressão, estabelecendo bem as categorias dos quais usaremos, antes que aconteçam sérios problemas quanto à interpretação das ideias aqui explicitadas.</w:t>
      </w:r>
    </w:p>
    <w:p w:rsidR="00593DB2" w:rsidRPr="003E6C9B" w:rsidRDefault="00593DB2" w:rsidP="00593DB2">
      <w:pPr>
        <w:spacing w:after="0" w:line="360" w:lineRule="auto"/>
        <w:ind w:firstLine="708"/>
        <w:jc w:val="both"/>
        <w:rPr>
          <w:rFonts w:ascii="Times New Roman" w:hAnsi="Times New Roman"/>
          <w:sz w:val="24"/>
          <w:szCs w:val="24"/>
        </w:rPr>
      </w:pPr>
      <w:r w:rsidRPr="003E6C9B">
        <w:rPr>
          <w:rFonts w:ascii="Times New Roman" w:hAnsi="Times New Roman"/>
          <w:sz w:val="24"/>
          <w:szCs w:val="24"/>
        </w:rPr>
        <w:t>De antemão, afirmamos que não será por este trabalho que chegaremos à definição exata do que é de fato uma ideologia. A questão é simples: este termo foi pensado, recepcionado e significado de formas diferentes no decorrer do tempo, desde a formulação do termo, com Destutt de Tracy, até os dias de hoje. Raymond Williams (2007) nos leva a pensar neste termo historicamente.</w:t>
      </w:r>
    </w:p>
    <w:p w:rsidR="00593DB2" w:rsidRPr="003E6C9B" w:rsidRDefault="00593DB2" w:rsidP="00593DB2">
      <w:pPr>
        <w:spacing w:after="0" w:line="360" w:lineRule="auto"/>
        <w:ind w:firstLine="708"/>
        <w:jc w:val="both"/>
        <w:rPr>
          <w:rFonts w:ascii="Times New Roman" w:hAnsi="Times New Roman"/>
          <w:sz w:val="24"/>
          <w:szCs w:val="24"/>
        </w:rPr>
      </w:pPr>
      <w:r w:rsidRPr="003E6C9B">
        <w:rPr>
          <w:rFonts w:ascii="Times New Roman" w:hAnsi="Times New Roman"/>
          <w:sz w:val="24"/>
          <w:szCs w:val="24"/>
        </w:rPr>
        <w:lastRenderedPageBreak/>
        <w:t>Segundo Williams, a palavra ideologia aparece no ano de 1796, com o filósofo racionalista chamado Destutt de Tracy. Ela era a filosofia da mente. No final do século XVIII e o século XIX, podemos perceber que esta palavra se aplicou em termos de estudos epistemológicos. A ideologia seria a ciência das ideias.</w:t>
      </w:r>
    </w:p>
    <w:p w:rsidR="00593DB2" w:rsidRPr="003E6C9B" w:rsidRDefault="00593DB2" w:rsidP="00593DB2">
      <w:pPr>
        <w:spacing w:after="0" w:line="360" w:lineRule="auto"/>
        <w:ind w:firstLine="708"/>
        <w:jc w:val="both"/>
        <w:rPr>
          <w:rFonts w:ascii="Times New Roman" w:hAnsi="Times New Roman"/>
          <w:sz w:val="24"/>
          <w:szCs w:val="24"/>
        </w:rPr>
      </w:pPr>
      <w:r w:rsidRPr="003E6C9B">
        <w:rPr>
          <w:rFonts w:ascii="Times New Roman" w:hAnsi="Times New Roman"/>
          <w:sz w:val="24"/>
          <w:szCs w:val="24"/>
        </w:rPr>
        <w:t>Um novo sentido se constrói para o temo, com Napoleão Bonaparte. O general e Imperador da França no início do século XIX caracterizou e popularizou um outro significado para o termo ideologia. Para ele, essa palavra remeteria a todo o conjunto de ideias associadas a comportamentos revolucionários. Scott menciona o seguinte:</w:t>
      </w:r>
      <w:r>
        <w:rPr>
          <w:rFonts w:ascii="Times New Roman" w:hAnsi="Times New Roman"/>
          <w:sz w:val="24"/>
          <w:szCs w:val="24"/>
        </w:rPr>
        <w:t xml:space="preserve"> “</w:t>
      </w:r>
      <w:r w:rsidRPr="003E6C9B">
        <w:rPr>
          <w:rFonts w:ascii="Times New Roman" w:hAnsi="Times New Roman"/>
          <w:sz w:val="24"/>
          <w:szCs w:val="24"/>
        </w:rPr>
        <w:t>ideologia, apelido pelo qual o governante francês costumava distinguir qualquer espécie de teoria que, em nenhum aspecto assentada no fundamento do egoísmo, não podia, em sua opinião, prevalecer exceto entre os rapazes de imaginação impetuosa e os entusiastas enlouquecidos</w:t>
      </w:r>
      <w:r>
        <w:rPr>
          <w:rFonts w:ascii="Times New Roman" w:hAnsi="Times New Roman"/>
          <w:sz w:val="24"/>
          <w:szCs w:val="24"/>
        </w:rPr>
        <w:t>”</w:t>
      </w:r>
      <w:r w:rsidRPr="003E6C9B">
        <w:rPr>
          <w:rFonts w:ascii="Times New Roman" w:hAnsi="Times New Roman"/>
          <w:sz w:val="24"/>
          <w:szCs w:val="24"/>
        </w:rPr>
        <w:t xml:space="preserve"> (SCOTT apud WILLIAMS, 2007, pág. 213)</w:t>
      </w:r>
      <w:r>
        <w:rPr>
          <w:rFonts w:ascii="Times New Roman" w:hAnsi="Times New Roman"/>
          <w:sz w:val="24"/>
          <w:szCs w:val="24"/>
        </w:rPr>
        <w:t>.</w:t>
      </w:r>
    </w:p>
    <w:p w:rsidR="00593DB2" w:rsidRPr="003E6C9B" w:rsidRDefault="00593DB2" w:rsidP="00593DB2">
      <w:pPr>
        <w:spacing w:after="0" w:line="360" w:lineRule="auto"/>
        <w:ind w:firstLine="708"/>
        <w:jc w:val="both"/>
        <w:rPr>
          <w:rFonts w:ascii="Times New Roman" w:hAnsi="Times New Roman"/>
          <w:sz w:val="24"/>
          <w:szCs w:val="24"/>
        </w:rPr>
      </w:pPr>
      <w:r w:rsidRPr="003E6C9B">
        <w:rPr>
          <w:rFonts w:ascii="Times New Roman" w:hAnsi="Times New Roman"/>
          <w:sz w:val="24"/>
          <w:szCs w:val="24"/>
        </w:rPr>
        <w:t>Na segunda metade do século XIX, o pensamento de Karl Marx e Engels caracteriza o referido termo em outro aspecto. Grosso modo, estes autores colocam a ideologia enquanto uma versão invertida da realidade. Devido à incapacidade de perceber as expressões ideais das relações materiais dominantes, as pessoas se deixariam levar pelas ideologias, que as fariam pensar que estão em um mundo ideal, quando na realidade estariam em um mundo em que as realidades estão completamente invertidas.</w:t>
      </w:r>
    </w:p>
    <w:p w:rsidR="00593DB2" w:rsidRPr="003E6C9B" w:rsidRDefault="00593DB2" w:rsidP="00593DB2">
      <w:pPr>
        <w:spacing w:after="0" w:line="360" w:lineRule="auto"/>
        <w:ind w:firstLine="708"/>
        <w:jc w:val="both"/>
        <w:rPr>
          <w:rFonts w:ascii="Times New Roman" w:hAnsi="Times New Roman"/>
          <w:sz w:val="24"/>
          <w:szCs w:val="24"/>
        </w:rPr>
      </w:pPr>
      <w:r w:rsidRPr="003E6C9B">
        <w:rPr>
          <w:rFonts w:ascii="Times New Roman" w:hAnsi="Times New Roman"/>
          <w:sz w:val="24"/>
          <w:szCs w:val="24"/>
        </w:rPr>
        <w:t>De acordo com a leitura que fizemos de trechos escritos por Engels, podemos ter uma noção de que a ideologia, segundo o pensamento dele, seria um conjunto de ideias que se caracterizariam pelo aspecto alienador que possuíam. Esse corpus ideológico emanaria de motivos falsos e/ou aparentes, enganando tanto quem difunde as ideias quanto os receptores das mesmas. Nas palavras de Raymond Williams: “Ideologia, portanto, é pensamento abstrato e falso. [...] Esse sentido de ideologia como ilusão, falsa consciência, irrealidade, realidade invertida, predomina em sua obra” (</w:t>
      </w:r>
      <w:r>
        <w:rPr>
          <w:rFonts w:ascii="Times New Roman" w:hAnsi="Times New Roman"/>
          <w:sz w:val="24"/>
          <w:szCs w:val="24"/>
        </w:rPr>
        <w:t>WILLIAMS</w:t>
      </w:r>
      <w:r w:rsidRPr="003E6C9B">
        <w:rPr>
          <w:rFonts w:ascii="Times New Roman" w:hAnsi="Times New Roman"/>
          <w:sz w:val="24"/>
          <w:szCs w:val="24"/>
        </w:rPr>
        <w:t>,</w:t>
      </w:r>
      <w:r>
        <w:rPr>
          <w:rFonts w:ascii="Times New Roman" w:hAnsi="Times New Roman"/>
          <w:sz w:val="24"/>
          <w:szCs w:val="24"/>
        </w:rPr>
        <w:t xml:space="preserve"> 2007,</w:t>
      </w:r>
      <w:r w:rsidRPr="003E6C9B">
        <w:rPr>
          <w:rFonts w:ascii="Times New Roman" w:hAnsi="Times New Roman"/>
          <w:sz w:val="24"/>
          <w:szCs w:val="24"/>
        </w:rPr>
        <w:t xml:space="preserve"> pág. 214–215).</w:t>
      </w:r>
    </w:p>
    <w:p w:rsidR="00593DB2" w:rsidRPr="003E6C9B" w:rsidRDefault="00593DB2" w:rsidP="00593DB2">
      <w:pPr>
        <w:spacing w:after="0" w:line="360" w:lineRule="auto"/>
        <w:ind w:firstLine="708"/>
        <w:jc w:val="both"/>
        <w:rPr>
          <w:rFonts w:ascii="Times New Roman" w:hAnsi="Times New Roman"/>
          <w:sz w:val="24"/>
          <w:szCs w:val="24"/>
        </w:rPr>
      </w:pPr>
      <w:r w:rsidRPr="003E6C9B">
        <w:rPr>
          <w:rFonts w:ascii="Times New Roman" w:hAnsi="Times New Roman"/>
          <w:sz w:val="24"/>
          <w:szCs w:val="24"/>
        </w:rPr>
        <w:t>De acordo com Williams, há certa contradição nesta forma de se conceber este conceito de ideologia, pois em alguns textos de Marx, pode-se ter a compreensão de que através das ideologias, os homens poderiam tornar-se “conscientes do conflito surgido das condições e das mudanças nas condição na produção econômica” (</w:t>
      </w:r>
      <w:r>
        <w:rPr>
          <w:rFonts w:ascii="Times New Roman" w:hAnsi="Times New Roman"/>
          <w:sz w:val="24"/>
          <w:szCs w:val="24"/>
        </w:rPr>
        <w:t xml:space="preserve">idem, </w:t>
      </w:r>
      <w:r w:rsidRPr="003E6C9B">
        <w:rPr>
          <w:rFonts w:ascii="Times New Roman" w:hAnsi="Times New Roman"/>
          <w:sz w:val="24"/>
          <w:szCs w:val="24"/>
        </w:rPr>
        <w:t>pág. 215). Ora, como eles poderiam ser cônscios dos conflitos através de meios alienadores de pensamento? Williams afirma, portanto, que é difícil conciliar essas dois sentidos encontrados tanto em Marx quanto em Engels.</w:t>
      </w:r>
    </w:p>
    <w:p w:rsidR="00593DB2" w:rsidRPr="003E6C9B" w:rsidRDefault="00593DB2" w:rsidP="00593DB2">
      <w:pPr>
        <w:spacing w:after="0" w:line="360" w:lineRule="auto"/>
        <w:ind w:firstLine="708"/>
        <w:jc w:val="both"/>
        <w:rPr>
          <w:rFonts w:ascii="Times New Roman" w:hAnsi="Times New Roman"/>
          <w:sz w:val="24"/>
          <w:szCs w:val="24"/>
        </w:rPr>
      </w:pPr>
      <w:r w:rsidRPr="003E6C9B">
        <w:rPr>
          <w:rFonts w:ascii="Times New Roman" w:hAnsi="Times New Roman"/>
          <w:sz w:val="24"/>
          <w:szCs w:val="24"/>
        </w:rPr>
        <w:t xml:space="preserve">No século XX, a concepção de ideologia toma forma mais ampla, embora o sentido basilar fosse um conjunto de ideias que surge de determinados interesses comuns de um grupo </w:t>
      </w:r>
      <w:r w:rsidRPr="003E6C9B">
        <w:rPr>
          <w:rFonts w:ascii="Times New Roman" w:hAnsi="Times New Roman"/>
          <w:sz w:val="24"/>
          <w:szCs w:val="24"/>
        </w:rPr>
        <w:lastRenderedPageBreak/>
        <w:t>definido. Baseado nisso, Williams declarará que, de acordo com os escritos de Lenin, a ideologia serviria para dar identidade a certos grupos. Em suas palavras “a ideologia é o sistema de ideias apropriado àquela classe” (pág. 216).</w:t>
      </w:r>
    </w:p>
    <w:p w:rsidR="00593DB2" w:rsidRPr="003E6C9B" w:rsidRDefault="00593DB2" w:rsidP="00593DB2">
      <w:pPr>
        <w:spacing w:after="0" w:line="360" w:lineRule="auto"/>
        <w:ind w:firstLine="708"/>
        <w:jc w:val="both"/>
        <w:rPr>
          <w:rFonts w:ascii="Times New Roman" w:hAnsi="Times New Roman"/>
          <w:sz w:val="24"/>
          <w:szCs w:val="24"/>
        </w:rPr>
      </w:pPr>
      <w:r w:rsidRPr="003E6C9B">
        <w:rPr>
          <w:rFonts w:ascii="Times New Roman" w:hAnsi="Times New Roman"/>
          <w:sz w:val="24"/>
          <w:szCs w:val="24"/>
        </w:rPr>
        <w:t>Por causa do triunfo da burguesia no cenário político da França da Segunda República, podemos concatenar que Marx e Engels acabam por construir uma imagem negativa do que seria ideologia. Para eles, este conceito seria enunciado como “complexo de representações, juízos e normas de ação convenientes à práxis dos grupos hegemônicos” (pág. 64). Este enunciado pode ser questionado, pois não apenas os grupos hegemônicos constroem para si este complexo de pensamentos convenientes à suas determinadas ações. Mesmo que não sejam sistemáticas, grupos sociais não-hegemônicos aglomeram diante de si certas normas e juízos de valores que direcionam suas práticas de vida social, política e econômica – não necessariamente nesta ordem.</w:t>
      </w:r>
    </w:p>
    <w:p w:rsidR="00593DB2" w:rsidRPr="003E6C9B" w:rsidRDefault="00593DB2" w:rsidP="00593DB2">
      <w:pPr>
        <w:spacing w:after="0" w:line="360" w:lineRule="auto"/>
        <w:ind w:firstLine="708"/>
        <w:jc w:val="both"/>
        <w:rPr>
          <w:rFonts w:ascii="Times New Roman" w:hAnsi="Times New Roman"/>
          <w:sz w:val="24"/>
          <w:szCs w:val="24"/>
        </w:rPr>
      </w:pPr>
      <w:r w:rsidRPr="003E6C9B">
        <w:rPr>
          <w:rFonts w:ascii="Times New Roman" w:hAnsi="Times New Roman"/>
          <w:sz w:val="24"/>
          <w:szCs w:val="24"/>
        </w:rPr>
        <w:t>Não obstante, o entendimento do que seria ideologia ainda é obscuro. Para se ter uma noção de tal polissemia, Terry Eaglaton (1997) identifica nada menos que 15 definições diferentes para o referido termo. Para Eaglaton “o termo ‘ideologia’ tem toda uma série de significados convenientes, nem todos eles compatíveis entre si. Tentar comprimir essa riqueza de significado em uma única definição abrangente seria, portanto, inútil, se é que possível” (Eaglaton, 1997, pág. 15).</w:t>
      </w:r>
    </w:p>
    <w:p w:rsidR="00593DB2" w:rsidRPr="003E6C9B" w:rsidRDefault="00593DB2" w:rsidP="00593DB2">
      <w:pPr>
        <w:spacing w:after="0" w:line="360" w:lineRule="auto"/>
        <w:ind w:firstLine="708"/>
        <w:jc w:val="both"/>
        <w:rPr>
          <w:rFonts w:ascii="Times New Roman" w:hAnsi="Times New Roman"/>
          <w:sz w:val="24"/>
          <w:szCs w:val="24"/>
        </w:rPr>
      </w:pPr>
      <w:r w:rsidRPr="003E6C9B">
        <w:rPr>
          <w:rFonts w:ascii="Times New Roman" w:hAnsi="Times New Roman"/>
          <w:sz w:val="24"/>
          <w:szCs w:val="24"/>
        </w:rPr>
        <w:t>Dentre as concepções para ideologia citadas por Eaglaton, a que mais se aproxima do sentido que propomos aplicar em nosso estudo está relacionada com a formação das identidades. Um grupo social, seja ele hegemônico ou não, possui um conjunto de ideias que as caracterizam. Neste aspecto, não achamos pertinente fazermos um diálogo mais próximo com a concepção dada por Marx, tendo em vista que seria pouco provável que um determinado grupo social construísse para si uma identidade baseada em princípios falsos – pelo menos para o mesmo.</w:t>
      </w:r>
    </w:p>
    <w:p w:rsidR="00593DB2" w:rsidRPr="003E6C9B" w:rsidRDefault="00593DB2" w:rsidP="00593DB2">
      <w:pPr>
        <w:spacing w:after="0" w:line="360" w:lineRule="auto"/>
        <w:ind w:firstLine="708"/>
        <w:jc w:val="both"/>
        <w:rPr>
          <w:rFonts w:ascii="Times New Roman" w:hAnsi="Times New Roman"/>
          <w:sz w:val="24"/>
          <w:szCs w:val="24"/>
        </w:rPr>
      </w:pPr>
      <w:r w:rsidRPr="003E6C9B">
        <w:rPr>
          <w:rFonts w:ascii="Times New Roman" w:hAnsi="Times New Roman"/>
          <w:sz w:val="24"/>
          <w:szCs w:val="24"/>
        </w:rPr>
        <w:t xml:space="preserve">Portanto, ao fazermos referência à ideologia, estamos falando de um corpus ideológico formador de identidade. Não apenas isso. Concordamos com o historiador João Marcos Leitão Santos que, ao caracterizar a ideologia protestante, a define como </w:t>
      </w:r>
      <w:r>
        <w:rPr>
          <w:rFonts w:ascii="Times New Roman" w:hAnsi="Times New Roman"/>
          <w:sz w:val="24"/>
          <w:szCs w:val="24"/>
        </w:rPr>
        <w:t xml:space="preserve">sendo </w:t>
      </w:r>
      <w:r w:rsidRPr="003E6C9B">
        <w:rPr>
          <w:rFonts w:ascii="Times New Roman" w:hAnsi="Times New Roman"/>
          <w:sz w:val="24"/>
          <w:szCs w:val="24"/>
        </w:rPr>
        <w:t xml:space="preserve">um “sistema de ordenamento da realidade” (SANTOS, </w:t>
      </w:r>
      <w:r>
        <w:rPr>
          <w:rFonts w:ascii="Times New Roman" w:hAnsi="Times New Roman"/>
          <w:sz w:val="24"/>
          <w:szCs w:val="24"/>
        </w:rPr>
        <w:t>2011, pág. 15</w:t>
      </w:r>
      <w:r w:rsidRPr="003E6C9B">
        <w:rPr>
          <w:rFonts w:ascii="Times New Roman" w:hAnsi="Times New Roman"/>
          <w:sz w:val="24"/>
          <w:szCs w:val="24"/>
        </w:rPr>
        <w:t xml:space="preserve">). Então, chegamos a um consenso: a ideologia não seria apenas uma forma de atribuir identidade a certos grupos, mas também um instrumento basilar para a manutenção ou promoção da ordem. </w:t>
      </w:r>
    </w:p>
    <w:p w:rsidR="00593DB2" w:rsidRPr="003E6C9B" w:rsidRDefault="00593DB2" w:rsidP="00593DB2">
      <w:pPr>
        <w:spacing w:after="0" w:line="360" w:lineRule="auto"/>
        <w:ind w:firstLine="708"/>
        <w:jc w:val="both"/>
        <w:rPr>
          <w:rFonts w:ascii="Times New Roman" w:hAnsi="Times New Roman"/>
          <w:sz w:val="24"/>
          <w:szCs w:val="24"/>
        </w:rPr>
      </w:pPr>
      <w:r w:rsidRPr="003E6C9B">
        <w:rPr>
          <w:rFonts w:ascii="Times New Roman" w:hAnsi="Times New Roman"/>
          <w:sz w:val="24"/>
          <w:szCs w:val="24"/>
        </w:rPr>
        <w:t xml:space="preserve">De acordo com estas ponderações e esclarecimento, bem como baseado neste conceito de ideologia, investigamos o conflito de ideias que ocorreu no cenário político do Império do Brasil, mais especificamente na primeira Assembleia Constituinte, em 1823. Tal conflito teve </w:t>
      </w:r>
      <w:r w:rsidRPr="003E6C9B">
        <w:rPr>
          <w:rFonts w:ascii="Times New Roman" w:hAnsi="Times New Roman"/>
          <w:sz w:val="24"/>
          <w:szCs w:val="24"/>
        </w:rPr>
        <w:lastRenderedPageBreak/>
        <w:t>como protagonistas dois atores: de um lado, o catolicismo, e do outro, o protestantismo. Veremos mais adiante e que esta disputa ideológica se dá sub-repticiamente, com declarações pouco explícitas. Não obstante, se fizermos uma contextualização histórica mais acurada, perceberemos que o protestantismo, enquanto ideologia política estava presente nos debates parlamentares, tornando-se o alvo das críticas e da contra-militância das causas liberais e democráticas da época.</w:t>
      </w:r>
    </w:p>
    <w:p w:rsidR="00593DB2" w:rsidRPr="003E6C9B" w:rsidRDefault="00593DB2" w:rsidP="00593DB2">
      <w:pPr>
        <w:spacing w:after="0" w:line="360" w:lineRule="auto"/>
        <w:ind w:firstLine="708"/>
        <w:jc w:val="both"/>
        <w:rPr>
          <w:rFonts w:ascii="Times New Roman" w:hAnsi="Times New Roman"/>
          <w:sz w:val="24"/>
          <w:szCs w:val="24"/>
        </w:rPr>
      </w:pPr>
    </w:p>
    <w:p w:rsidR="003634CD" w:rsidRPr="003E6C9B" w:rsidRDefault="00593DB2" w:rsidP="00593DB2">
      <w:pPr>
        <w:spacing w:after="0" w:line="360" w:lineRule="auto"/>
        <w:jc w:val="both"/>
        <w:rPr>
          <w:rFonts w:ascii="Times New Roman" w:hAnsi="Times New Roman"/>
          <w:b/>
          <w:sz w:val="24"/>
          <w:szCs w:val="24"/>
        </w:rPr>
      </w:pPr>
      <w:r w:rsidRPr="003E6C9B">
        <w:rPr>
          <w:rFonts w:ascii="Times New Roman" w:hAnsi="Times New Roman"/>
          <w:b/>
          <w:sz w:val="24"/>
          <w:szCs w:val="24"/>
        </w:rPr>
        <w:t>A relevância da religião</w:t>
      </w:r>
      <w:r>
        <w:rPr>
          <w:rStyle w:val="Refdenotadefim"/>
          <w:rFonts w:ascii="Times New Roman" w:hAnsi="Times New Roman"/>
          <w:b/>
          <w:sz w:val="24"/>
          <w:szCs w:val="24"/>
        </w:rPr>
        <w:endnoteReference w:id="3"/>
      </w:r>
      <w:r w:rsidRPr="003E6C9B">
        <w:rPr>
          <w:rFonts w:ascii="Times New Roman" w:hAnsi="Times New Roman"/>
          <w:b/>
          <w:sz w:val="24"/>
          <w:szCs w:val="24"/>
        </w:rPr>
        <w:t xml:space="preserve"> para o Império do Brasil</w:t>
      </w:r>
    </w:p>
    <w:p w:rsidR="00593DB2" w:rsidRPr="003E6C9B" w:rsidRDefault="00593DB2" w:rsidP="00593DB2">
      <w:pPr>
        <w:spacing w:after="0" w:line="360" w:lineRule="auto"/>
        <w:ind w:firstLine="708"/>
        <w:jc w:val="both"/>
        <w:rPr>
          <w:rFonts w:ascii="Times New Roman" w:hAnsi="Times New Roman"/>
          <w:sz w:val="24"/>
          <w:szCs w:val="24"/>
        </w:rPr>
      </w:pPr>
      <w:r w:rsidRPr="003E6C9B">
        <w:rPr>
          <w:rFonts w:ascii="Times New Roman" w:hAnsi="Times New Roman"/>
          <w:sz w:val="24"/>
          <w:szCs w:val="24"/>
        </w:rPr>
        <w:t>Pouco se escreve acerca do papel que a religião exerceu na construção do Estado Brasileiro. Em uma das obras mais recentes acerca da história do Brasil do período Imperial, podemos encontrar apenas um artigo que discorria sobre a religião do Império</w:t>
      </w:r>
      <w:r>
        <w:rPr>
          <w:rStyle w:val="Refdenotadefim"/>
          <w:rFonts w:ascii="Times New Roman" w:hAnsi="Times New Roman"/>
          <w:sz w:val="24"/>
          <w:szCs w:val="24"/>
        </w:rPr>
        <w:endnoteReference w:id="4"/>
      </w:r>
      <w:r w:rsidRPr="003E6C9B">
        <w:rPr>
          <w:rFonts w:ascii="Times New Roman" w:hAnsi="Times New Roman"/>
          <w:sz w:val="24"/>
          <w:szCs w:val="24"/>
        </w:rPr>
        <w:t>. Aliás, um artigo bem construído, que nos surpreendeu pelo fato de fazer referências interessantes ao Primeiro Reinado, bem como às discussões parlamentares na Assembleia Geral Constituinte de 1823. O que nos chama bastante atenção, pois o que se tem publicado acerca do Primeiro Reinado – grosso modo – privilegia dois pontos centrais: a formação do Estado Brasileiro e suas relações com Portugal, e a abdicação de D. Pedro I, deixando com isso uma grande lacuna acerca de outras temáticas. Dentre estas brechas, encontra-se o elemento religioso.</w:t>
      </w:r>
    </w:p>
    <w:p w:rsidR="00593DB2" w:rsidRPr="003E6C9B" w:rsidRDefault="00593DB2" w:rsidP="00593DB2">
      <w:pPr>
        <w:spacing w:after="0" w:line="360" w:lineRule="auto"/>
        <w:ind w:firstLine="708"/>
        <w:jc w:val="both"/>
        <w:rPr>
          <w:rFonts w:ascii="Times New Roman" w:hAnsi="Times New Roman"/>
          <w:sz w:val="24"/>
          <w:szCs w:val="24"/>
        </w:rPr>
      </w:pPr>
      <w:r w:rsidRPr="003E6C9B">
        <w:rPr>
          <w:rFonts w:ascii="Times New Roman" w:hAnsi="Times New Roman"/>
          <w:sz w:val="24"/>
          <w:szCs w:val="24"/>
        </w:rPr>
        <w:t xml:space="preserve">É possível que esta forma de estudar o Primeiro Reinado nos leve a alguns equívocos. O primeiro deles será tratado neste ponto, e está no fato de que a religião não possuía um grau de importância na construção do Estado Brasileiro. Para quem estuda a história do Brasil do período Imperial, é estranho se deparar com pouca ou até mesmo nenhuma informação sobre a relevância e a influência que a religião exerceu nas mais diversas camadas da sociedade no referido período. Ao contrário do que vem sido percebido, tal procedimento não condiz com as práticas que foram cultivadas naquela época. </w:t>
      </w:r>
    </w:p>
    <w:p w:rsidR="00593DB2" w:rsidRPr="003E6C9B" w:rsidRDefault="00593DB2" w:rsidP="00593DB2">
      <w:pPr>
        <w:spacing w:after="0" w:line="360" w:lineRule="auto"/>
        <w:ind w:firstLine="708"/>
        <w:jc w:val="both"/>
        <w:rPr>
          <w:rFonts w:ascii="Times New Roman" w:hAnsi="Times New Roman"/>
          <w:sz w:val="24"/>
          <w:szCs w:val="24"/>
        </w:rPr>
      </w:pPr>
      <w:r w:rsidRPr="003E6C9B">
        <w:rPr>
          <w:rFonts w:ascii="Times New Roman" w:hAnsi="Times New Roman"/>
          <w:sz w:val="24"/>
          <w:szCs w:val="24"/>
        </w:rPr>
        <w:t xml:space="preserve">O historiador João Marcos, </w:t>
      </w:r>
      <w:r>
        <w:rPr>
          <w:rFonts w:ascii="Times New Roman" w:hAnsi="Times New Roman"/>
          <w:sz w:val="24"/>
          <w:szCs w:val="24"/>
        </w:rPr>
        <w:t>citando o Deão Faria, diz que “</w:t>
      </w:r>
      <w:r w:rsidRPr="003E6C9B">
        <w:rPr>
          <w:rFonts w:ascii="Times New Roman" w:hAnsi="Times New Roman"/>
          <w:sz w:val="24"/>
          <w:szCs w:val="24"/>
        </w:rPr>
        <w:t xml:space="preserve">sem religião não há moral, sem moral não há costumes, sem costumes não há forma de governo, por mais bem combinada que seja, que possa </w:t>
      </w:r>
      <w:r>
        <w:rPr>
          <w:rFonts w:ascii="Times New Roman" w:hAnsi="Times New Roman"/>
          <w:sz w:val="24"/>
          <w:szCs w:val="24"/>
        </w:rPr>
        <w:t>fazer a felicidade social” (FARIA apud SANTOS, 2011</w:t>
      </w:r>
      <w:r w:rsidRPr="003E6C9B">
        <w:rPr>
          <w:rFonts w:ascii="Times New Roman" w:hAnsi="Times New Roman"/>
          <w:sz w:val="24"/>
          <w:szCs w:val="24"/>
        </w:rPr>
        <w:t>, pág</w:t>
      </w:r>
      <w:r>
        <w:rPr>
          <w:rFonts w:ascii="Times New Roman" w:hAnsi="Times New Roman"/>
          <w:sz w:val="24"/>
          <w:szCs w:val="24"/>
        </w:rPr>
        <w:t>. 19</w:t>
      </w:r>
      <w:r w:rsidRPr="003E6C9B">
        <w:rPr>
          <w:rFonts w:ascii="Times New Roman" w:hAnsi="Times New Roman"/>
          <w:sz w:val="24"/>
          <w:szCs w:val="24"/>
        </w:rPr>
        <w:t xml:space="preserve">). Percebamos, através desta afirmação, que a religião passa a ser a base em que os demais aspectos da sociedade são construídos. Até mesmo a forma de governo deveria passar pelo crivo da religião, quer seja ela falsa ou verdadeira – contanto que ela seja a religião da maioria dos seus </w:t>
      </w:r>
      <w:r>
        <w:rPr>
          <w:rFonts w:ascii="Times New Roman" w:hAnsi="Times New Roman"/>
          <w:sz w:val="24"/>
          <w:szCs w:val="24"/>
        </w:rPr>
        <w:t>cidadãos (SOUZA apud SANTOS, 2011</w:t>
      </w:r>
      <w:r w:rsidRPr="003E6C9B">
        <w:rPr>
          <w:rFonts w:ascii="Times New Roman" w:hAnsi="Times New Roman"/>
          <w:sz w:val="24"/>
          <w:szCs w:val="24"/>
        </w:rPr>
        <w:t xml:space="preserve">, pág. </w:t>
      </w:r>
      <w:r>
        <w:rPr>
          <w:rFonts w:ascii="Times New Roman" w:hAnsi="Times New Roman"/>
          <w:sz w:val="24"/>
          <w:szCs w:val="24"/>
        </w:rPr>
        <w:t>19</w:t>
      </w:r>
      <w:r w:rsidRPr="003E6C9B">
        <w:rPr>
          <w:rFonts w:ascii="Times New Roman" w:hAnsi="Times New Roman"/>
          <w:sz w:val="24"/>
          <w:szCs w:val="24"/>
        </w:rPr>
        <w:t>).</w:t>
      </w:r>
    </w:p>
    <w:p w:rsidR="00593DB2" w:rsidRPr="003E6C9B" w:rsidRDefault="00593DB2" w:rsidP="00593DB2">
      <w:pPr>
        <w:spacing w:after="0" w:line="360" w:lineRule="auto"/>
        <w:ind w:firstLine="708"/>
        <w:jc w:val="both"/>
        <w:rPr>
          <w:rFonts w:ascii="Times New Roman" w:hAnsi="Times New Roman"/>
          <w:sz w:val="24"/>
          <w:szCs w:val="24"/>
        </w:rPr>
      </w:pPr>
      <w:r w:rsidRPr="003E6C9B">
        <w:rPr>
          <w:rFonts w:ascii="Times New Roman" w:hAnsi="Times New Roman"/>
          <w:sz w:val="24"/>
          <w:szCs w:val="24"/>
        </w:rPr>
        <w:t xml:space="preserve">Ao estudarmos o projeto de Constituição elaborada em 1823, veremos que há certa simbiose entre o sagrado e o civil no cenário político do recém-formado Império do Brasil. Nas sessões preparatórias do dia 30 de Abril do mesmo ano, houve uma discussão sobre o </w:t>
      </w:r>
      <w:r w:rsidRPr="003E6C9B">
        <w:rPr>
          <w:rFonts w:ascii="Times New Roman" w:hAnsi="Times New Roman"/>
          <w:sz w:val="24"/>
          <w:szCs w:val="24"/>
        </w:rPr>
        <w:lastRenderedPageBreak/>
        <w:t xml:space="preserve">Capítulo 5 do Regulamento Interno da Câmara, mais especificamente o 19º Artigo, que tratava das formalidades que deveriam ser observadas na Assembleia. Depois de estudado e debatido, a decisão tomada pelos parlamentares foi que “defronte do Trono, [...] diante dela estará a Mesa: em cima dela, os </w:t>
      </w:r>
      <w:r w:rsidRPr="003E6C9B">
        <w:rPr>
          <w:rFonts w:ascii="Times New Roman" w:hAnsi="Times New Roman"/>
          <w:i/>
          <w:sz w:val="24"/>
          <w:szCs w:val="24"/>
        </w:rPr>
        <w:t xml:space="preserve">Santos Evangelhos, </w:t>
      </w:r>
      <w:r w:rsidRPr="003E6C9B">
        <w:rPr>
          <w:rFonts w:ascii="Times New Roman" w:hAnsi="Times New Roman"/>
          <w:sz w:val="24"/>
          <w:szCs w:val="24"/>
        </w:rPr>
        <w:t>um exemplar da Constituição, outro deste Regimento [...]”</w:t>
      </w:r>
      <w:r>
        <w:rPr>
          <w:rStyle w:val="Refdenotadefim"/>
          <w:rFonts w:ascii="Times New Roman" w:hAnsi="Times New Roman"/>
          <w:sz w:val="24"/>
          <w:szCs w:val="24"/>
        </w:rPr>
        <w:endnoteReference w:id="5"/>
      </w:r>
      <w:r w:rsidRPr="003E6C9B">
        <w:rPr>
          <w:rFonts w:ascii="Times New Roman" w:hAnsi="Times New Roman"/>
          <w:sz w:val="24"/>
          <w:szCs w:val="24"/>
        </w:rPr>
        <w:t>.</w:t>
      </w:r>
    </w:p>
    <w:p w:rsidR="00593DB2" w:rsidRPr="003E6C9B" w:rsidRDefault="00593DB2" w:rsidP="00593DB2">
      <w:pPr>
        <w:spacing w:after="0" w:line="360" w:lineRule="auto"/>
        <w:ind w:firstLine="708"/>
        <w:jc w:val="both"/>
        <w:rPr>
          <w:rFonts w:ascii="Times New Roman" w:hAnsi="Times New Roman"/>
          <w:sz w:val="24"/>
          <w:szCs w:val="24"/>
        </w:rPr>
      </w:pPr>
      <w:r w:rsidRPr="003E6C9B">
        <w:rPr>
          <w:rFonts w:ascii="Times New Roman" w:hAnsi="Times New Roman"/>
          <w:sz w:val="24"/>
          <w:szCs w:val="24"/>
        </w:rPr>
        <w:t>À primeira vista, pode parecer inusitado um exemplar dos Evangelhos na Câmara dos Deputados. Mas deve-se levar em conta o significado simbólico que esta atitude contém. Se voltarmos um pouco no tempo, perceberemos que as relações entre a Igreja e o Estado eram bastante fortes. Segundo as palavras do brasilianista Thomas C. Bruneau, “Igreja e Estado, estavam empenhados na expansão da civilização e, com ela, da verdadeira fé” (BRUNEAU, 1974, pág. 35). Portanto, é bastante pertinente pensarmos na ideia de que o Estado pretendia estar fundamentado em preceitos religiosos. Daí toda uma preocupação em se estabelecer uma série de regras em que elementos do Sagrado estivessem presentes. É como se os preopinantes estivessem diante do Ser Supremo, cônscios de que as ações referentes às leis que regeriam o país estariam sob Suas vistas. É justamente por verificarmos as ligações da Coroa Imperial com a Igreja que torna-se equivocado conceber a ideia de que a religião não possuía certo grau de importância na construção do Estado Brasileiro.</w:t>
      </w:r>
    </w:p>
    <w:p w:rsidR="00593DB2" w:rsidRPr="003E6C9B" w:rsidRDefault="00593DB2" w:rsidP="00593DB2">
      <w:pPr>
        <w:spacing w:after="0" w:line="360" w:lineRule="auto"/>
        <w:ind w:firstLine="708"/>
        <w:jc w:val="both"/>
        <w:rPr>
          <w:rFonts w:ascii="Times New Roman" w:hAnsi="Times New Roman"/>
          <w:sz w:val="24"/>
          <w:szCs w:val="24"/>
        </w:rPr>
      </w:pPr>
      <w:r w:rsidRPr="003E6C9B">
        <w:rPr>
          <w:rFonts w:ascii="Times New Roman" w:hAnsi="Times New Roman"/>
          <w:sz w:val="24"/>
          <w:szCs w:val="24"/>
        </w:rPr>
        <w:t>A religião como base para a construção da existência e das ações humanas – tomando por base a concepção do Deão Joaquim Francisco de Faria supracitado anteriormente – pode ser lida nas entrelinhas do discurso proferido pelo Deputado Antônio Carlos Ribeiro de Andrada Machado. Ele falou que “O respeito cria a submissão ao poder legítimo, arreiga a subordinação nas hierarquias, e consolida a ordem; e nisto ganha a sociedade em geral”</w:t>
      </w:r>
      <w:r>
        <w:rPr>
          <w:rStyle w:val="Refdenotadefim"/>
          <w:rFonts w:ascii="Times New Roman" w:hAnsi="Times New Roman"/>
          <w:sz w:val="24"/>
          <w:szCs w:val="24"/>
        </w:rPr>
        <w:endnoteReference w:id="6"/>
      </w:r>
      <w:r w:rsidRPr="003E6C9B">
        <w:rPr>
          <w:rFonts w:ascii="Times New Roman" w:hAnsi="Times New Roman"/>
          <w:sz w:val="24"/>
          <w:szCs w:val="24"/>
        </w:rPr>
        <w:t>. Levando em consideração as explanações que Terry Eaglaton sobre Ideologia, a fala proferida por Antônio Carlos tornou-se ideológica</w:t>
      </w:r>
      <w:r>
        <w:rPr>
          <w:rStyle w:val="Refdenotadefim"/>
          <w:rFonts w:ascii="Times New Roman" w:hAnsi="Times New Roman"/>
          <w:sz w:val="24"/>
          <w:szCs w:val="24"/>
        </w:rPr>
        <w:endnoteReference w:id="7"/>
      </w:r>
      <w:r w:rsidRPr="003E6C9B">
        <w:rPr>
          <w:rFonts w:ascii="Times New Roman" w:hAnsi="Times New Roman"/>
          <w:sz w:val="24"/>
          <w:szCs w:val="24"/>
        </w:rPr>
        <w:t>, uma vez que este se tratava de assuntos de ordem política, social e até mesmo cultural. Uma ideologia religiosa proporcionava a formulação deste discurso.</w:t>
      </w:r>
    </w:p>
    <w:p w:rsidR="00593DB2" w:rsidRPr="003E6C9B" w:rsidRDefault="00593DB2" w:rsidP="00593DB2">
      <w:pPr>
        <w:spacing w:after="0" w:line="360" w:lineRule="auto"/>
        <w:ind w:firstLine="708"/>
        <w:jc w:val="both"/>
        <w:rPr>
          <w:rFonts w:ascii="Times New Roman" w:hAnsi="Times New Roman"/>
          <w:sz w:val="24"/>
          <w:szCs w:val="24"/>
        </w:rPr>
      </w:pPr>
      <w:r w:rsidRPr="003E6C9B">
        <w:rPr>
          <w:rFonts w:ascii="Times New Roman" w:hAnsi="Times New Roman"/>
          <w:sz w:val="24"/>
          <w:szCs w:val="24"/>
        </w:rPr>
        <w:t>O respeito às hierarquias e a manutenção da ordem social eram ideias propagadas com muita firmeza pelo Catolicismo. Esta é uma informação propícia, pois se considerarmos todo um histórico da Igreja, perceberemos que esta era uma prática pouco hodierna. No medievo, verificamos todo um aparato ideológico, com vistas a disciplinar a sociedade de acordo com seus dogmas e princípios.</w:t>
      </w:r>
    </w:p>
    <w:p w:rsidR="00593DB2" w:rsidRPr="003E6C9B" w:rsidRDefault="00593DB2" w:rsidP="00593DB2">
      <w:pPr>
        <w:spacing w:after="0" w:line="360" w:lineRule="auto"/>
        <w:ind w:firstLine="708"/>
        <w:jc w:val="both"/>
        <w:rPr>
          <w:rFonts w:ascii="Times New Roman" w:hAnsi="Times New Roman"/>
          <w:sz w:val="24"/>
          <w:szCs w:val="24"/>
        </w:rPr>
      </w:pPr>
      <w:r w:rsidRPr="003E6C9B">
        <w:rPr>
          <w:rFonts w:ascii="Times New Roman" w:hAnsi="Times New Roman"/>
          <w:sz w:val="24"/>
          <w:szCs w:val="24"/>
        </w:rPr>
        <w:t xml:space="preserve">Na experiência Ibérica, mais especificamente lusitana, o Catolicismo tornou-se bastante forte neste sentido. Thomas C. Bruneau cita que o a Igreja “procurava permear tudo, através de qualquer meio, por todos os mecanismos do Estado e da sociedade” (BRUNEAU, </w:t>
      </w:r>
      <w:r w:rsidRPr="003E6C9B">
        <w:rPr>
          <w:rFonts w:ascii="Times New Roman" w:hAnsi="Times New Roman"/>
          <w:sz w:val="24"/>
          <w:szCs w:val="24"/>
        </w:rPr>
        <w:lastRenderedPageBreak/>
        <w:t>1974, pág. 29). Seus ideais perpassavam todas as esferas da existência humana. Portanto, não era de se esperar algo diferente daquilo que foi proclamado na Câmara pelo Deputado Antônio Carlos.</w:t>
      </w:r>
    </w:p>
    <w:p w:rsidR="00593DB2" w:rsidRPr="003E6C9B" w:rsidRDefault="00593DB2" w:rsidP="00593DB2">
      <w:pPr>
        <w:spacing w:after="0" w:line="360" w:lineRule="auto"/>
        <w:ind w:firstLine="708"/>
        <w:jc w:val="both"/>
        <w:rPr>
          <w:rFonts w:ascii="Times New Roman" w:hAnsi="Times New Roman"/>
          <w:sz w:val="24"/>
          <w:szCs w:val="24"/>
        </w:rPr>
      </w:pPr>
      <w:r w:rsidRPr="003E6C9B">
        <w:rPr>
          <w:rFonts w:ascii="Times New Roman" w:hAnsi="Times New Roman"/>
          <w:sz w:val="24"/>
          <w:szCs w:val="24"/>
        </w:rPr>
        <w:t>Na leitura que fizemos do Diário da Assembleia Constituinte de 1823, percebemos outro equívoco cometido por aqueles que estudam a história do Brasil Império. Este se encontra no que diz respeito ausência de ideologias dissonantes nos ambiente e nos debates parlamentares. É o que veremos a seguir no próximo ponto.</w:t>
      </w:r>
    </w:p>
    <w:p w:rsidR="00593DB2" w:rsidRPr="003E6C9B" w:rsidRDefault="00593DB2" w:rsidP="00593DB2">
      <w:pPr>
        <w:spacing w:after="0" w:line="360" w:lineRule="auto"/>
        <w:ind w:firstLine="708"/>
        <w:jc w:val="both"/>
        <w:rPr>
          <w:rFonts w:ascii="Times New Roman" w:hAnsi="Times New Roman"/>
          <w:sz w:val="24"/>
          <w:szCs w:val="24"/>
        </w:rPr>
      </w:pPr>
    </w:p>
    <w:p w:rsidR="003634CD" w:rsidRPr="003E6C9B" w:rsidRDefault="00593DB2" w:rsidP="00593DB2">
      <w:pPr>
        <w:spacing w:after="0" w:line="360" w:lineRule="auto"/>
        <w:jc w:val="both"/>
        <w:rPr>
          <w:rFonts w:ascii="Times New Roman" w:hAnsi="Times New Roman"/>
          <w:b/>
          <w:sz w:val="24"/>
          <w:szCs w:val="24"/>
        </w:rPr>
      </w:pPr>
      <w:r w:rsidRPr="003E6C9B">
        <w:rPr>
          <w:rFonts w:ascii="Times New Roman" w:hAnsi="Times New Roman"/>
          <w:b/>
          <w:sz w:val="24"/>
          <w:szCs w:val="24"/>
        </w:rPr>
        <w:t>A dinâmica do catolicismo como ideologia política e o combate às ideias heterodoxas</w:t>
      </w:r>
    </w:p>
    <w:p w:rsidR="00593DB2" w:rsidRDefault="00593DB2" w:rsidP="00593DB2">
      <w:pPr>
        <w:spacing w:after="0" w:line="360" w:lineRule="auto"/>
        <w:ind w:firstLine="708"/>
        <w:jc w:val="both"/>
        <w:rPr>
          <w:rFonts w:ascii="Times New Roman" w:hAnsi="Times New Roman"/>
          <w:sz w:val="24"/>
          <w:szCs w:val="24"/>
        </w:rPr>
      </w:pPr>
      <w:r w:rsidRPr="003E6C9B">
        <w:rPr>
          <w:rFonts w:ascii="Times New Roman" w:hAnsi="Times New Roman"/>
          <w:sz w:val="24"/>
          <w:szCs w:val="24"/>
        </w:rPr>
        <w:t xml:space="preserve">Como vimos no ponto anterior, o Catolicismo procurava manter sua presença em todas as esferas da existência humana. Não obstante, para que uma ideia se torne hegemônica, é necessário combater e tentar exterminar – se não reprimir – </w:t>
      </w:r>
      <w:r>
        <w:rPr>
          <w:rFonts w:ascii="Times New Roman" w:hAnsi="Times New Roman"/>
          <w:sz w:val="24"/>
          <w:szCs w:val="24"/>
        </w:rPr>
        <w:t>concepções diferentes</w:t>
      </w:r>
      <w:r w:rsidRPr="003E6C9B">
        <w:rPr>
          <w:rFonts w:ascii="Times New Roman" w:hAnsi="Times New Roman"/>
          <w:sz w:val="24"/>
          <w:szCs w:val="24"/>
        </w:rPr>
        <w:t xml:space="preserve"> que </w:t>
      </w:r>
      <w:r>
        <w:rPr>
          <w:rFonts w:ascii="Times New Roman" w:hAnsi="Times New Roman"/>
          <w:sz w:val="24"/>
          <w:szCs w:val="24"/>
        </w:rPr>
        <w:t>a ameace</w:t>
      </w:r>
      <w:r w:rsidRPr="003E6C9B">
        <w:rPr>
          <w:rFonts w:ascii="Times New Roman" w:hAnsi="Times New Roman"/>
          <w:sz w:val="24"/>
          <w:szCs w:val="24"/>
        </w:rPr>
        <w:t>. Ao explicar sobre esta dinâmica, Terry Eaglaton</w:t>
      </w:r>
      <w:r>
        <w:rPr>
          <w:rFonts w:ascii="Times New Roman" w:hAnsi="Times New Roman"/>
          <w:sz w:val="24"/>
          <w:szCs w:val="24"/>
        </w:rPr>
        <w:t xml:space="preserve"> diz que</w:t>
      </w:r>
    </w:p>
    <w:p w:rsidR="00593DB2" w:rsidRDefault="00593DB2" w:rsidP="00593DB2">
      <w:pPr>
        <w:spacing w:after="0" w:line="360" w:lineRule="auto"/>
        <w:jc w:val="both"/>
        <w:rPr>
          <w:rFonts w:ascii="Times New Roman" w:hAnsi="Times New Roman"/>
          <w:sz w:val="24"/>
          <w:szCs w:val="24"/>
        </w:rPr>
      </w:pPr>
    </w:p>
    <w:p w:rsidR="00593DB2" w:rsidRPr="00AD4AE1" w:rsidRDefault="00593DB2" w:rsidP="00593DB2">
      <w:pPr>
        <w:spacing w:after="0" w:line="240" w:lineRule="auto"/>
        <w:ind w:left="2268"/>
        <w:jc w:val="both"/>
        <w:rPr>
          <w:rFonts w:ascii="Times New Roman" w:hAnsi="Times New Roman"/>
        </w:rPr>
      </w:pPr>
      <w:r w:rsidRPr="00AD4AE1">
        <w:rPr>
          <w:rFonts w:ascii="Times New Roman" w:hAnsi="Times New Roman"/>
        </w:rPr>
        <w:t xml:space="preserve">um poder dominante pode legitimar-se </w:t>
      </w:r>
      <w:r w:rsidRPr="00AD4AE1">
        <w:rPr>
          <w:rFonts w:ascii="Times New Roman" w:hAnsi="Times New Roman"/>
          <w:i/>
        </w:rPr>
        <w:t>promovendo</w:t>
      </w:r>
      <w:r w:rsidRPr="00AD4AE1">
        <w:rPr>
          <w:rFonts w:ascii="Times New Roman" w:hAnsi="Times New Roman"/>
        </w:rPr>
        <w:t xml:space="preserve"> crenças e valores compatíveis com ele; </w:t>
      </w:r>
      <w:r w:rsidRPr="00AD4AE1">
        <w:rPr>
          <w:rFonts w:ascii="Times New Roman" w:hAnsi="Times New Roman"/>
          <w:i/>
        </w:rPr>
        <w:t>naturalizando</w:t>
      </w:r>
      <w:r w:rsidRPr="00AD4AE1">
        <w:rPr>
          <w:rFonts w:ascii="Times New Roman" w:hAnsi="Times New Roman"/>
        </w:rPr>
        <w:t xml:space="preserve"> e </w:t>
      </w:r>
      <w:r w:rsidRPr="00AD4AE1">
        <w:rPr>
          <w:rFonts w:ascii="Times New Roman" w:hAnsi="Times New Roman"/>
          <w:i/>
        </w:rPr>
        <w:t>universalizando</w:t>
      </w:r>
      <w:r w:rsidRPr="00AD4AE1">
        <w:rPr>
          <w:rFonts w:ascii="Times New Roman" w:hAnsi="Times New Roman"/>
        </w:rPr>
        <w:t xml:space="preserve"> tais crenças de modo a torná-las óbvias e aparentemente inevitáveis; </w:t>
      </w:r>
      <w:r w:rsidRPr="00AD4AE1">
        <w:rPr>
          <w:rFonts w:ascii="Times New Roman" w:hAnsi="Times New Roman"/>
          <w:i/>
        </w:rPr>
        <w:t>denegrindo</w:t>
      </w:r>
      <w:r w:rsidRPr="00AD4AE1">
        <w:rPr>
          <w:rFonts w:ascii="Times New Roman" w:hAnsi="Times New Roman"/>
        </w:rPr>
        <w:t xml:space="preserve"> ideias que possam desafiá-lo; </w:t>
      </w:r>
      <w:r w:rsidRPr="00AD4AE1">
        <w:rPr>
          <w:rFonts w:ascii="Times New Roman" w:hAnsi="Times New Roman"/>
          <w:i/>
        </w:rPr>
        <w:t>excluindo</w:t>
      </w:r>
      <w:r w:rsidRPr="00AD4AE1">
        <w:rPr>
          <w:rFonts w:ascii="Times New Roman" w:hAnsi="Times New Roman"/>
        </w:rPr>
        <w:t xml:space="preserve"> formas rivais de pensamento, mediante talvez alguma lógica não declarada, mas sistemática; e </w:t>
      </w:r>
      <w:r w:rsidRPr="00AD4AE1">
        <w:rPr>
          <w:rFonts w:ascii="Times New Roman" w:hAnsi="Times New Roman"/>
          <w:i/>
        </w:rPr>
        <w:t>obscurecendo</w:t>
      </w:r>
      <w:r w:rsidRPr="00AD4AE1">
        <w:rPr>
          <w:rFonts w:ascii="Times New Roman" w:hAnsi="Times New Roman"/>
        </w:rPr>
        <w:t xml:space="preserve"> a realidade social de modo a favorecê-lo” (EAGLETON, 1997, pág. 19</w:t>
      </w:r>
      <w:r>
        <w:rPr>
          <w:rFonts w:ascii="Times New Roman" w:hAnsi="Times New Roman"/>
        </w:rPr>
        <w:t>. Grifo nosso</w:t>
      </w:r>
      <w:r w:rsidRPr="00AD4AE1">
        <w:rPr>
          <w:rFonts w:ascii="Times New Roman" w:hAnsi="Times New Roman"/>
        </w:rPr>
        <w:t>).</w:t>
      </w:r>
    </w:p>
    <w:p w:rsidR="00593DB2" w:rsidRDefault="00593DB2" w:rsidP="00593DB2">
      <w:pPr>
        <w:spacing w:after="0" w:line="360" w:lineRule="auto"/>
        <w:ind w:firstLine="708"/>
        <w:jc w:val="both"/>
        <w:rPr>
          <w:rFonts w:ascii="Times New Roman" w:hAnsi="Times New Roman"/>
          <w:sz w:val="24"/>
          <w:szCs w:val="24"/>
        </w:rPr>
      </w:pPr>
    </w:p>
    <w:p w:rsidR="00593DB2" w:rsidRPr="003E6C9B" w:rsidRDefault="00593DB2" w:rsidP="00593DB2">
      <w:pPr>
        <w:spacing w:after="0" w:line="360" w:lineRule="auto"/>
        <w:ind w:firstLine="708"/>
        <w:jc w:val="both"/>
        <w:rPr>
          <w:rFonts w:ascii="Times New Roman" w:hAnsi="Times New Roman"/>
          <w:sz w:val="24"/>
          <w:szCs w:val="24"/>
        </w:rPr>
      </w:pPr>
      <w:r w:rsidRPr="003E6C9B">
        <w:rPr>
          <w:rFonts w:ascii="Times New Roman" w:hAnsi="Times New Roman"/>
          <w:sz w:val="24"/>
          <w:szCs w:val="24"/>
        </w:rPr>
        <w:t xml:space="preserve">Pouco se tem visto produções historiográficas que façam referência </w:t>
      </w:r>
      <w:r>
        <w:rPr>
          <w:rFonts w:ascii="Times New Roman" w:hAnsi="Times New Roman"/>
          <w:sz w:val="24"/>
          <w:szCs w:val="24"/>
        </w:rPr>
        <w:t>aos conflitos entre a ideologia católica e outras concepções – ditas heterodoxas –</w:t>
      </w:r>
      <w:r w:rsidRPr="003E6C9B">
        <w:rPr>
          <w:rFonts w:ascii="Times New Roman" w:hAnsi="Times New Roman"/>
          <w:sz w:val="24"/>
          <w:szCs w:val="24"/>
        </w:rPr>
        <w:t xml:space="preserve">, principalmente quando se trata do período </w:t>
      </w:r>
      <w:r>
        <w:rPr>
          <w:rFonts w:ascii="Times New Roman" w:hAnsi="Times New Roman"/>
          <w:sz w:val="24"/>
          <w:szCs w:val="24"/>
        </w:rPr>
        <w:t>referente ao</w:t>
      </w:r>
      <w:r w:rsidRPr="003E6C9B">
        <w:rPr>
          <w:rFonts w:ascii="Times New Roman" w:hAnsi="Times New Roman"/>
          <w:sz w:val="24"/>
          <w:szCs w:val="24"/>
        </w:rPr>
        <w:t xml:space="preserve"> Primeiro </w:t>
      </w:r>
      <w:r>
        <w:rPr>
          <w:rFonts w:ascii="Times New Roman" w:hAnsi="Times New Roman"/>
          <w:sz w:val="24"/>
          <w:szCs w:val="24"/>
        </w:rPr>
        <w:t xml:space="preserve">Reinado. </w:t>
      </w:r>
      <w:r w:rsidRPr="003E6C9B">
        <w:rPr>
          <w:rFonts w:ascii="Times New Roman" w:hAnsi="Times New Roman"/>
          <w:sz w:val="24"/>
          <w:szCs w:val="24"/>
        </w:rPr>
        <w:t>Dos grupos que aparecem</w:t>
      </w:r>
      <w:r>
        <w:rPr>
          <w:rFonts w:ascii="Times New Roman" w:hAnsi="Times New Roman"/>
          <w:sz w:val="24"/>
          <w:szCs w:val="24"/>
        </w:rPr>
        <w:t xml:space="preserve"> </w:t>
      </w:r>
      <w:r w:rsidRPr="003E6C9B">
        <w:rPr>
          <w:rFonts w:ascii="Times New Roman" w:hAnsi="Times New Roman"/>
          <w:sz w:val="24"/>
          <w:szCs w:val="24"/>
        </w:rPr>
        <w:t>neste cenário</w:t>
      </w:r>
      <w:r>
        <w:rPr>
          <w:rFonts w:ascii="Times New Roman" w:hAnsi="Times New Roman"/>
          <w:sz w:val="24"/>
          <w:szCs w:val="24"/>
        </w:rPr>
        <w:t xml:space="preserve"> de conflitos</w:t>
      </w:r>
      <w:r w:rsidRPr="003E6C9B">
        <w:rPr>
          <w:rFonts w:ascii="Times New Roman" w:hAnsi="Times New Roman"/>
          <w:sz w:val="24"/>
          <w:szCs w:val="24"/>
        </w:rPr>
        <w:t xml:space="preserve">, </w:t>
      </w:r>
      <w:r>
        <w:rPr>
          <w:rFonts w:ascii="Times New Roman" w:hAnsi="Times New Roman"/>
          <w:sz w:val="24"/>
          <w:szCs w:val="24"/>
        </w:rPr>
        <w:t xml:space="preserve">a </w:t>
      </w:r>
      <w:r w:rsidRPr="003E6C9B">
        <w:rPr>
          <w:rFonts w:ascii="Times New Roman" w:hAnsi="Times New Roman"/>
          <w:sz w:val="24"/>
          <w:szCs w:val="24"/>
        </w:rPr>
        <w:t xml:space="preserve">Maçonaria </w:t>
      </w:r>
      <w:r>
        <w:rPr>
          <w:rFonts w:ascii="Times New Roman" w:hAnsi="Times New Roman"/>
          <w:sz w:val="24"/>
          <w:szCs w:val="24"/>
        </w:rPr>
        <w:t xml:space="preserve">é </w:t>
      </w:r>
      <w:r w:rsidRPr="003E6C9B">
        <w:rPr>
          <w:rFonts w:ascii="Times New Roman" w:hAnsi="Times New Roman"/>
          <w:sz w:val="24"/>
          <w:szCs w:val="24"/>
        </w:rPr>
        <w:t xml:space="preserve">o </w:t>
      </w:r>
      <w:r>
        <w:rPr>
          <w:rFonts w:ascii="Times New Roman" w:hAnsi="Times New Roman"/>
          <w:sz w:val="24"/>
          <w:szCs w:val="24"/>
        </w:rPr>
        <w:t>frequente</w:t>
      </w:r>
      <w:r w:rsidRPr="003E6C9B">
        <w:rPr>
          <w:rFonts w:ascii="Times New Roman" w:hAnsi="Times New Roman"/>
          <w:sz w:val="24"/>
          <w:szCs w:val="24"/>
        </w:rPr>
        <w:t xml:space="preserve">. O Positivismo e seu espírito questionador só veio chegar a partir da segunda metade do século XIX. É possível que o desinteresse </w:t>
      </w:r>
      <w:r>
        <w:rPr>
          <w:rFonts w:ascii="Times New Roman" w:hAnsi="Times New Roman"/>
          <w:sz w:val="24"/>
          <w:szCs w:val="24"/>
        </w:rPr>
        <w:t>por</w:t>
      </w:r>
      <w:r w:rsidRPr="003E6C9B">
        <w:rPr>
          <w:rFonts w:ascii="Times New Roman" w:hAnsi="Times New Roman"/>
          <w:sz w:val="24"/>
          <w:szCs w:val="24"/>
        </w:rPr>
        <w:t xml:space="preserve"> se estudar ess</w:t>
      </w:r>
      <w:r>
        <w:rPr>
          <w:rFonts w:ascii="Times New Roman" w:hAnsi="Times New Roman"/>
          <w:sz w:val="24"/>
          <w:szCs w:val="24"/>
        </w:rPr>
        <w:t>e</w:t>
      </w:r>
      <w:r w:rsidRPr="003E6C9B">
        <w:rPr>
          <w:rFonts w:ascii="Times New Roman" w:hAnsi="Times New Roman"/>
          <w:sz w:val="24"/>
          <w:szCs w:val="24"/>
        </w:rPr>
        <w:t xml:space="preserve">s </w:t>
      </w:r>
      <w:r>
        <w:rPr>
          <w:rFonts w:ascii="Times New Roman" w:hAnsi="Times New Roman"/>
          <w:sz w:val="24"/>
          <w:szCs w:val="24"/>
        </w:rPr>
        <w:t>embates</w:t>
      </w:r>
      <w:r w:rsidRPr="003E6C9B">
        <w:rPr>
          <w:rFonts w:ascii="Times New Roman" w:hAnsi="Times New Roman"/>
          <w:sz w:val="24"/>
          <w:szCs w:val="24"/>
        </w:rPr>
        <w:t xml:space="preserve"> no Primeiro Reinado se deva</w:t>
      </w:r>
      <w:r>
        <w:rPr>
          <w:rFonts w:ascii="Times New Roman" w:hAnsi="Times New Roman"/>
          <w:sz w:val="24"/>
          <w:szCs w:val="24"/>
        </w:rPr>
        <w:t xml:space="preserve"> a escassez de fontes ou a uma rasa análise das fontes da época</w:t>
      </w:r>
      <w:r w:rsidRPr="003E6C9B">
        <w:rPr>
          <w:rFonts w:ascii="Times New Roman" w:hAnsi="Times New Roman"/>
          <w:sz w:val="24"/>
          <w:szCs w:val="24"/>
        </w:rPr>
        <w:t xml:space="preserve">. Entretanto, tal desinteresse pode levar a sérios equívocos, pois ele deixa transparecer que as discussões em torno da chamada </w:t>
      </w:r>
      <w:r w:rsidRPr="00E268E5">
        <w:rPr>
          <w:rFonts w:ascii="Times New Roman" w:hAnsi="Times New Roman"/>
          <w:i/>
          <w:sz w:val="24"/>
          <w:szCs w:val="24"/>
        </w:rPr>
        <w:t>Modernidade</w:t>
      </w:r>
      <w:r w:rsidRPr="003E6C9B">
        <w:rPr>
          <w:rFonts w:ascii="Times New Roman" w:hAnsi="Times New Roman"/>
          <w:sz w:val="24"/>
          <w:szCs w:val="24"/>
        </w:rPr>
        <w:t xml:space="preserve"> só </w:t>
      </w:r>
      <w:r>
        <w:rPr>
          <w:rFonts w:ascii="Times New Roman" w:hAnsi="Times New Roman"/>
          <w:sz w:val="24"/>
          <w:szCs w:val="24"/>
        </w:rPr>
        <w:t>foram</w:t>
      </w:r>
      <w:r w:rsidRPr="003E6C9B">
        <w:rPr>
          <w:rFonts w:ascii="Times New Roman" w:hAnsi="Times New Roman"/>
          <w:sz w:val="24"/>
          <w:szCs w:val="24"/>
        </w:rPr>
        <w:t xml:space="preserve"> possíveis a partir do reinado de D. Pedro II.</w:t>
      </w:r>
    </w:p>
    <w:p w:rsidR="00593DB2" w:rsidRDefault="00593DB2" w:rsidP="00593DB2">
      <w:pPr>
        <w:spacing w:after="0" w:line="360" w:lineRule="auto"/>
        <w:ind w:firstLine="708"/>
        <w:jc w:val="both"/>
        <w:rPr>
          <w:rFonts w:ascii="Times New Roman" w:hAnsi="Times New Roman"/>
          <w:sz w:val="24"/>
          <w:szCs w:val="24"/>
        </w:rPr>
      </w:pPr>
      <w:r w:rsidRPr="003E6C9B">
        <w:rPr>
          <w:rFonts w:ascii="Times New Roman" w:hAnsi="Times New Roman"/>
          <w:sz w:val="24"/>
          <w:szCs w:val="24"/>
        </w:rPr>
        <w:t>Muito nos interessa ao lermos as palavras proferidas na Assembleia Geral Constituinte de 1823, tanto nas sessões preparatórias quanto nas sessões regulares. Através da dinâmica dos discursos parlamentares, podemos inferir a presença de ideias pouco bem-vindas para a construção do recém-formado Império do Brasil. Concepções que não eram apenas pouco bem-vindas, mas também combatidas por aqueles que faziam parte do grupo ideológico dominante.</w:t>
      </w:r>
    </w:p>
    <w:p w:rsidR="00593DB2" w:rsidRPr="003E6C9B" w:rsidRDefault="00593DB2" w:rsidP="00593DB2">
      <w:pPr>
        <w:spacing w:after="0" w:line="360" w:lineRule="auto"/>
        <w:ind w:firstLine="708"/>
        <w:jc w:val="both"/>
        <w:rPr>
          <w:rFonts w:ascii="Times New Roman" w:hAnsi="Times New Roman"/>
          <w:sz w:val="24"/>
          <w:szCs w:val="24"/>
        </w:rPr>
      </w:pPr>
      <w:r w:rsidRPr="003E6C9B">
        <w:rPr>
          <w:rFonts w:ascii="Times New Roman" w:hAnsi="Times New Roman"/>
          <w:sz w:val="24"/>
          <w:szCs w:val="24"/>
        </w:rPr>
        <w:lastRenderedPageBreak/>
        <w:t>Dentre os assuntos debatidos na sessão do dia 18 de Abril do ano supracitado, esteve em pauta a formulação de um juramento. De acordo com o Deputado Antônio Carlos de Andrada, a prestação de tal declaração seria indispensável. Isso nos leva a pensar em tais palavras como sendo um pacto, uma promessa de fidelidade. Ao lermos os termos que compõe a proposta de juramento feito pelo Constituinte, podemos perceber que havia uma tentativa de tornar explícito um pensamento hegemônico, bem como a de reprimir, por meio de tais palavras, a credibilidade de ideias que não fossem compatíveis com o status quo. Sorrateiramente, pensamentos de vertente oposta daquele que pretendia ser o verdadeiro eram combatidos. As primeiras palavras do juramento</w:t>
      </w:r>
      <w:r>
        <w:rPr>
          <w:rFonts w:ascii="Times New Roman" w:hAnsi="Times New Roman"/>
          <w:sz w:val="24"/>
          <w:szCs w:val="24"/>
        </w:rPr>
        <w:t>,</w:t>
      </w:r>
      <w:r w:rsidRPr="003E6C9B">
        <w:rPr>
          <w:rFonts w:ascii="Times New Roman" w:hAnsi="Times New Roman"/>
          <w:sz w:val="24"/>
          <w:szCs w:val="24"/>
        </w:rPr>
        <w:t xml:space="preserve"> que foi propost</w:t>
      </w:r>
      <w:r>
        <w:rPr>
          <w:rFonts w:ascii="Times New Roman" w:hAnsi="Times New Roman"/>
          <w:sz w:val="24"/>
          <w:szCs w:val="24"/>
        </w:rPr>
        <w:t xml:space="preserve">o </w:t>
      </w:r>
      <w:r w:rsidRPr="003E6C9B">
        <w:rPr>
          <w:rFonts w:ascii="Times New Roman" w:hAnsi="Times New Roman"/>
          <w:sz w:val="24"/>
          <w:szCs w:val="24"/>
        </w:rPr>
        <w:t>pelo Deputado Antônio Carlos</w:t>
      </w:r>
      <w:r>
        <w:rPr>
          <w:rFonts w:ascii="Times New Roman" w:hAnsi="Times New Roman"/>
          <w:sz w:val="24"/>
          <w:szCs w:val="24"/>
        </w:rPr>
        <w:t>,</w:t>
      </w:r>
      <w:r w:rsidRPr="003E6C9B">
        <w:rPr>
          <w:rFonts w:ascii="Times New Roman" w:hAnsi="Times New Roman"/>
          <w:sz w:val="24"/>
          <w:szCs w:val="24"/>
        </w:rPr>
        <w:t xml:space="preserve"> dizia:</w:t>
      </w:r>
      <w:r>
        <w:rPr>
          <w:rFonts w:ascii="Times New Roman" w:hAnsi="Times New Roman"/>
          <w:sz w:val="24"/>
          <w:szCs w:val="24"/>
        </w:rPr>
        <w:t xml:space="preserve"> “</w:t>
      </w:r>
      <w:r w:rsidRPr="003E6C9B">
        <w:rPr>
          <w:rFonts w:ascii="Times New Roman" w:hAnsi="Times New Roman"/>
          <w:sz w:val="24"/>
          <w:szCs w:val="24"/>
        </w:rPr>
        <w:t xml:space="preserve">Juro cumprir fiel e lealmente as obrigações de Deputado na Assembleia Geral Constituinte e Legislativa Brasiliense, convocada para fazer a Constituição Política do Império do Brasil, e as reformas indispensáveis e urgentes, </w:t>
      </w:r>
      <w:r w:rsidRPr="003E6C9B">
        <w:rPr>
          <w:rFonts w:ascii="Times New Roman" w:hAnsi="Times New Roman"/>
          <w:i/>
          <w:sz w:val="24"/>
          <w:szCs w:val="24"/>
        </w:rPr>
        <w:t>mantida a Religião Católica Apostólica Romana</w:t>
      </w:r>
      <w:r w:rsidRPr="003E6C9B">
        <w:rPr>
          <w:rFonts w:ascii="Times New Roman" w:hAnsi="Times New Roman"/>
          <w:sz w:val="24"/>
          <w:szCs w:val="24"/>
        </w:rPr>
        <w:t xml:space="preserve"> [...]</w:t>
      </w:r>
      <w:r>
        <w:rPr>
          <w:rFonts w:ascii="Times New Roman" w:hAnsi="Times New Roman"/>
          <w:sz w:val="24"/>
          <w:szCs w:val="24"/>
        </w:rPr>
        <w:t>”</w:t>
      </w:r>
      <w:r>
        <w:rPr>
          <w:rStyle w:val="Refdenotadefim"/>
          <w:rFonts w:ascii="Times New Roman" w:hAnsi="Times New Roman"/>
          <w:sz w:val="24"/>
          <w:szCs w:val="24"/>
        </w:rPr>
        <w:endnoteReference w:id="8"/>
      </w:r>
    </w:p>
    <w:p w:rsidR="00593DB2" w:rsidRPr="003E6C9B" w:rsidRDefault="00593DB2" w:rsidP="00593DB2">
      <w:pPr>
        <w:spacing w:after="0" w:line="360" w:lineRule="auto"/>
        <w:ind w:firstLine="708"/>
        <w:jc w:val="both"/>
        <w:rPr>
          <w:rFonts w:ascii="Times New Roman" w:hAnsi="Times New Roman"/>
          <w:sz w:val="24"/>
          <w:szCs w:val="24"/>
        </w:rPr>
      </w:pPr>
      <w:r w:rsidRPr="003E6C9B">
        <w:rPr>
          <w:rFonts w:ascii="Times New Roman" w:hAnsi="Times New Roman"/>
          <w:sz w:val="24"/>
          <w:szCs w:val="24"/>
        </w:rPr>
        <w:t xml:space="preserve">Estas palavras nos permitem pensar em alguns aspectos importantes. O primeiro deles está no sentido de </w:t>
      </w:r>
      <w:r w:rsidRPr="003E6C9B">
        <w:rPr>
          <w:rFonts w:ascii="Times New Roman" w:hAnsi="Times New Roman"/>
          <w:i/>
          <w:sz w:val="24"/>
          <w:szCs w:val="24"/>
        </w:rPr>
        <w:t>manter</w:t>
      </w:r>
      <w:r w:rsidRPr="003E6C9B">
        <w:rPr>
          <w:rFonts w:ascii="Times New Roman" w:hAnsi="Times New Roman"/>
          <w:sz w:val="24"/>
          <w:szCs w:val="24"/>
        </w:rPr>
        <w:t xml:space="preserve"> a Religião Católica Apostólica Romana. É importante pensarmos neste ponto, tendo em vista que a manutenção de uma determinada ideologia política, legitimada por certa religião, asseguraria – pelo menos em primeira instância – uma ordem social e política favorável ao grupo que se encontra em hegemonia na sociedade. André Biéler cita que “o catolicismo, baseado [...] na autoridade primeira da tradição (religiosa e por analogia social e política) assegura a permanência de uma ordem, que mantém o povo em tranquila e voluntária submissão” (BIÉLER, 1999, pág. 38). Nesse sentido, </w:t>
      </w:r>
      <w:r w:rsidRPr="003E6C9B">
        <w:rPr>
          <w:rFonts w:ascii="Times New Roman" w:hAnsi="Times New Roman"/>
          <w:i/>
          <w:sz w:val="24"/>
          <w:szCs w:val="24"/>
        </w:rPr>
        <w:t>manter</w:t>
      </w:r>
      <w:r w:rsidRPr="003E6C9B">
        <w:rPr>
          <w:rFonts w:ascii="Times New Roman" w:hAnsi="Times New Roman"/>
          <w:sz w:val="24"/>
          <w:szCs w:val="24"/>
        </w:rPr>
        <w:t xml:space="preserve"> a religião Católica seria </w:t>
      </w:r>
      <w:r w:rsidRPr="003E6C9B">
        <w:rPr>
          <w:rFonts w:ascii="Times New Roman" w:hAnsi="Times New Roman"/>
          <w:i/>
          <w:sz w:val="24"/>
          <w:szCs w:val="24"/>
        </w:rPr>
        <w:t>manter</w:t>
      </w:r>
      <w:r w:rsidRPr="003E6C9B">
        <w:rPr>
          <w:rFonts w:ascii="Times New Roman" w:hAnsi="Times New Roman"/>
          <w:sz w:val="24"/>
          <w:szCs w:val="24"/>
        </w:rPr>
        <w:t xml:space="preserve"> a ordem. Permitir que outros credos possuíssem os mesmos direitos de igualdade no seio da sociedade brasileira seria, de acordo com eles, mergulhá-la na anarquia, bem como levar ao naufrágio a </w:t>
      </w:r>
      <w:r w:rsidRPr="00565426">
        <w:rPr>
          <w:rFonts w:ascii="Times New Roman" w:hAnsi="Times New Roman"/>
          <w:i/>
          <w:sz w:val="24"/>
          <w:szCs w:val="24"/>
        </w:rPr>
        <w:t>Nação</w:t>
      </w:r>
      <w:r>
        <w:rPr>
          <w:rStyle w:val="Refdenotadefim"/>
          <w:rFonts w:ascii="Times New Roman" w:hAnsi="Times New Roman"/>
          <w:sz w:val="24"/>
          <w:szCs w:val="24"/>
        </w:rPr>
        <w:endnoteReference w:id="9"/>
      </w:r>
      <w:r w:rsidRPr="003E6C9B">
        <w:rPr>
          <w:rFonts w:ascii="Times New Roman" w:hAnsi="Times New Roman"/>
          <w:sz w:val="24"/>
          <w:szCs w:val="24"/>
        </w:rPr>
        <w:t xml:space="preserve"> brasileira.</w:t>
      </w:r>
    </w:p>
    <w:p w:rsidR="00593DB2" w:rsidRPr="003E6C9B" w:rsidRDefault="00593DB2" w:rsidP="00593DB2">
      <w:pPr>
        <w:spacing w:after="0" w:line="360" w:lineRule="auto"/>
        <w:ind w:firstLine="708"/>
        <w:jc w:val="both"/>
        <w:rPr>
          <w:rFonts w:ascii="Times New Roman" w:hAnsi="Times New Roman"/>
          <w:sz w:val="24"/>
          <w:szCs w:val="24"/>
        </w:rPr>
      </w:pPr>
      <w:r w:rsidRPr="003E6C9B">
        <w:rPr>
          <w:rFonts w:ascii="Times New Roman" w:hAnsi="Times New Roman"/>
          <w:sz w:val="24"/>
          <w:szCs w:val="24"/>
        </w:rPr>
        <w:t xml:space="preserve">O segundo aspecto que nos remete ao Juramento proposto pelo Deputado está na </w:t>
      </w:r>
      <w:r w:rsidRPr="003E6C9B">
        <w:rPr>
          <w:rFonts w:ascii="Times New Roman" w:hAnsi="Times New Roman"/>
          <w:i/>
          <w:sz w:val="24"/>
          <w:szCs w:val="24"/>
        </w:rPr>
        <w:t>necessidade</w:t>
      </w:r>
      <w:r w:rsidRPr="003E6C9B">
        <w:rPr>
          <w:rFonts w:ascii="Times New Roman" w:hAnsi="Times New Roman"/>
          <w:sz w:val="24"/>
          <w:szCs w:val="24"/>
        </w:rPr>
        <w:t xml:space="preserve"> de se fazer um juramento que conste fidelidade à Religião Católica. Perguntamos sobre o possível motivo que levou o Deputado Antônio Carlos a propor tal juramento. Proferir tais palavras seria – grosso modo – redundante, a menos que existissem pessoas que discordassem dos posicionamentos associados à ideologia política </w:t>
      </w:r>
      <w:r>
        <w:rPr>
          <w:rFonts w:ascii="Times New Roman" w:hAnsi="Times New Roman"/>
          <w:sz w:val="24"/>
          <w:szCs w:val="24"/>
        </w:rPr>
        <w:t>vinculada ao Catolicismo</w:t>
      </w:r>
      <w:r w:rsidRPr="003E6C9B">
        <w:rPr>
          <w:rFonts w:ascii="Times New Roman" w:hAnsi="Times New Roman"/>
          <w:sz w:val="24"/>
          <w:szCs w:val="24"/>
        </w:rPr>
        <w:t>.</w:t>
      </w:r>
    </w:p>
    <w:p w:rsidR="00593DB2" w:rsidRPr="003E6C9B" w:rsidRDefault="00593DB2" w:rsidP="00593DB2">
      <w:pPr>
        <w:spacing w:after="0" w:line="360" w:lineRule="auto"/>
        <w:ind w:firstLine="708"/>
        <w:jc w:val="both"/>
        <w:rPr>
          <w:rFonts w:ascii="Times New Roman" w:hAnsi="Times New Roman"/>
          <w:sz w:val="24"/>
          <w:szCs w:val="24"/>
        </w:rPr>
      </w:pPr>
      <w:r w:rsidRPr="003E6C9B">
        <w:rPr>
          <w:rFonts w:ascii="Times New Roman" w:hAnsi="Times New Roman"/>
          <w:sz w:val="24"/>
          <w:szCs w:val="24"/>
        </w:rPr>
        <w:t>Pronunciar publicamente um voto de lealdade a certos princípios religiosos soa como quem desejasse que pessoas com pensamentos heterodoxos escutassem qual a ideologia que usufruía um status de hegem</w:t>
      </w:r>
      <w:r>
        <w:rPr>
          <w:rFonts w:ascii="Times New Roman" w:hAnsi="Times New Roman"/>
          <w:sz w:val="24"/>
          <w:szCs w:val="24"/>
        </w:rPr>
        <w:t>onia</w:t>
      </w:r>
      <w:r w:rsidRPr="003E6C9B">
        <w:rPr>
          <w:rFonts w:ascii="Times New Roman" w:hAnsi="Times New Roman"/>
          <w:sz w:val="24"/>
          <w:szCs w:val="24"/>
        </w:rPr>
        <w:t>. Não apenas isso, mas também uma tentativa de demarcar princípios ideológicos e conceituais fundamentais para a construção da sociedade.</w:t>
      </w:r>
    </w:p>
    <w:p w:rsidR="00593DB2" w:rsidRPr="003E6C9B" w:rsidRDefault="00593DB2" w:rsidP="00593DB2">
      <w:pPr>
        <w:spacing w:after="0" w:line="360" w:lineRule="auto"/>
        <w:ind w:firstLine="708"/>
        <w:jc w:val="both"/>
        <w:rPr>
          <w:rFonts w:ascii="Times New Roman" w:hAnsi="Times New Roman"/>
          <w:sz w:val="24"/>
          <w:szCs w:val="24"/>
        </w:rPr>
      </w:pPr>
      <w:r w:rsidRPr="003E6C9B">
        <w:rPr>
          <w:rFonts w:ascii="Times New Roman" w:hAnsi="Times New Roman"/>
          <w:sz w:val="24"/>
          <w:szCs w:val="24"/>
        </w:rPr>
        <w:lastRenderedPageBreak/>
        <w:t>Afirmar que a Igreja Católica seria mantida como a religião verdadeira por excelência poderia ser considerada como estratégia ideológica para justificar a repressão e o combate a outros tipos de cosmovisão que ameaçavam o status quo. Imbuídos desta concepção, podemos perceber a relevância de se declarar tal juramento.</w:t>
      </w:r>
    </w:p>
    <w:p w:rsidR="00593DB2" w:rsidRPr="003E6C9B" w:rsidRDefault="00593DB2" w:rsidP="00593DB2">
      <w:pPr>
        <w:spacing w:after="0" w:line="360" w:lineRule="auto"/>
        <w:ind w:firstLine="708"/>
        <w:jc w:val="both"/>
        <w:rPr>
          <w:rFonts w:ascii="Times New Roman" w:hAnsi="Times New Roman"/>
          <w:sz w:val="24"/>
          <w:szCs w:val="24"/>
        </w:rPr>
      </w:pPr>
      <w:r w:rsidRPr="003E6C9B">
        <w:rPr>
          <w:rFonts w:ascii="Times New Roman" w:hAnsi="Times New Roman"/>
          <w:sz w:val="24"/>
          <w:szCs w:val="24"/>
        </w:rPr>
        <w:t>Na ata da sessão do dia 30 de Abril de 1823 lemos que no encerramento das atividades “se decidiu que no dia seguinte 1º de Maio, se reunissem os Srs. Deputados, à hora do costume, na Sala da Assembleia, para dali irem em Corpo à Capela Imperial assistir à Missa do Espírito Santo, e prestar o competente juramento”</w:t>
      </w:r>
      <w:r>
        <w:rPr>
          <w:rStyle w:val="Refdenotadefim"/>
          <w:rFonts w:ascii="Times New Roman" w:hAnsi="Times New Roman"/>
          <w:sz w:val="24"/>
          <w:szCs w:val="24"/>
        </w:rPr>
        <w:endnoteReference w:id="10"/>
      </w:r>
      <w:r w:rsidRPr="003E6C9B">
        <w:rPr>
          <w:rFonts w:ascii="Times New Roman" w:hAnsi="Times New Roman"/>
          <w:sz w:val="24"/>
          <w:szCs w:val="24"/>
        </w:rPr>
        <w:t>. Através desta informação, inferimos que o ato de dirigir-se à Igreja e pronunciar o juramento diante não apenas dos clérigos, mas também de toda a sociedade, era uma atitude politicamente correta para a maioria dos Deputados.</w:t>
      </w:r>
    </w:p>
    <w:p w:rsidR="00593DB2" w:rsidRDefault="00593DB2" w:rsidP="00593DB2">
      <w:pPr>
        <w:spacing w:after="0" w:line="360" w:lineRule="auto"/>
        <w:ind w:firstLine="708"/>
        <w:jc w:val="both"/>
        <w:rPr>
          <w:rFonts w:ascii="Times New Roman" w:hAnsi="Times New Roman"/>
          <w:sz w:val="24"/>
          <w:szCs w:val="24"/>
        </w:rPr>
      </w:pPr>
      <w:r w:rsidRPr="003E6C9B">
        <w:rPr>
          <w:rFonts w:ascii="Times New Roman" w:hAnsi="Times New Roman"/>
          <w:sz w:val="24"/>
          <w:szCs w:val="24"/>
        </w:rPr>
        <w:t>A cerimônia de juramento foi mencionada nos seguintes termos:</w:t>
      </w:r>
    </w:p>
    <w:p w:rsidR="00593DB2" w:rsidRDefault="00593DB2" w:rsidP="00593DB2">
      <w:pPr>
        <w:spacing w:after="0" w:line="360" w:lineRule="auto"/>
        <w:jc w:val="both"/>
        <w:rPr>
          <w:rFonts w:ascii="Times New Roman" w:hAnsi="Times New Roman"/>
          <w:sz w:val="24"/>
          <w:szCs w:val="24"/>
        </w:rPr>
      </w:pPr>
    </w:p>
    <w:p w:rsidR="00593DB2" w:rsidRPr="00AD4AE1" w:rsidRDefault="00593DB2" w:rsidP="00593DB2">
      <w:pPr>
        <w:spacing w:after="0" w:line="240" w:lineRule="auto"/>
        <w:ind w:left="2268"/>
        <w:jc w:val="both"/>
        <w:rPr>
          <w:rFonts w:ascii="Times New Roman" w:hAnsi="Times New Roman"/>
        </w:rPr>
      </w:pPr>
      <w:r w:rsidRPr="00AD4AE1">
        <w:rPr>
          <w:rFonts w:ascii="Times New Roman" w:hAnsi="Times New Roman"/>
        </w:rPr>
        <w:t xml:space="preserve">Conveio a Assembleia d’ali se dirigiu em Corpo à Capela Imperial onde assistiu à Missa Solene do Espírito Santo que Oficiou o Sr. Bispo Capelão-Mor: o qual logo depois </w:t>
      </w:r>
      <w:r w:rsidRPr="00AD4AE1">
        <w:rPr>
          <w:rFonts w:ascii="Times New Roman" w:hAnsi="Times New Roman"/>
          <w:i/>
        </w:rPr>
        <w:t>prestou o juramento de Deputado</w:t>
      </w:r>
      <w:r w:rsidRPr="00AD4AE1">
        <w:rPr>
          <w:rFonts w:ascii="Times New Roman" w:hAnsi="Times New Roman"/>
        </w:rPr>
        <w:t xml:space="preserve"> nas mãos do Decano do Cabido </w:t>
      </w:r>
      <w:r w:rsidRPr="00AD4AE1">
        <w:rPr>
          <w:rFonts w:ascii="Times New Roman" w:hAnsi="Times New Roman"/>
          <w:i/>
        </w:rPr>
        <w:t>pronunciando de joelhos e em voz alta o mesmo juramento pela fórmula aprovada [...] pondo cada um por sua vez a mão sobre os Santos Evangelhos</w:t>
      </w:r>
      <w:r w:rsidRPr="00AD4AE1">
        <w:rPr>
          <w:rStyle w:val="Refdenotadefim"/>
          <w:rFonts w:ascii="Times New Roman" w:hAnsi="Times New Roman"/>
          <w:i/>
        </w:rPr>
        <w:endnoteReference w:id="11"/>
      </w:r>
      <w:r w:rsidRPr="00AD4AE1">
        <w:rPr>
          <w:rFonts w:ascii="Times New Roman" w:hAnsi="Times New Roman"/>
        </w:rPr>
        <w:t>.</w:t>
      </w:r>
    </w:p>
    <w:p w:rsidR="00593DB2" w:rsidRPr="003E6C9B" w:rsidRDefault="00593DB2" w:rsidP="00593DB2">
      <w:pPr>
        <w:spacing w:after="0" w:line="360" w:lineRule="auto"/>
        <w:jc w:val="both"/>
        <w:rPr>
          <w:rFonts w:ascii="Times New Roman" w:hAnsi="Times New Roman"/>
          <w:sz w:val="24"/>
          <w:szCs w:val="24"/>
        </w:rPr>
      </w:pPr>
    </w:p>
    <w:p w:rsidR="00593DB2" w:rsidRPr="003E6C9B" w:rsidRDefault="00593DB2" w:rsidP="00593DB2">
      <w:pPr>
        <w:spacing w:after="0" w:line="360" w:lineRule="auto"/>
        <w:ind w:firstLine="708"/>
        <w:jc w:val="both"/>
        <w:rPr>
          <w:rFonts w:ascii="Times New Roman" w:hAnsi="Times New Roman"/>
          <w:sz w:val="24"/>
          <w:szCs w:val="24"/>
        </w:rPr>
      </w:pPr>
      <w:r w:rsidRPr="003E6C9B">
        <w:rPr>
          <w:rFonts w:ascii="Times New Roman" w:hAnsi="Times New Roman"/>
          <w:sz w:val="24"/>
          <w:szCs w:val="24"/>
        </w:rPr>
        <w:t xml:space="preserve">O ato de jurar fidelidade ao Catolicismo perante a comunidade da Igreja também acabava por se tornar um ritual simbólico, como que houvesse uma tentativa de demonstrar pelo mesmo ritual que divinamente eles receberam a legitimidade de legislar e, consequentemente, combater as ideias contrárias à ordem de então. </w:t>
      </w:r>
    </w:p>
    <w:p w:rsidR="00593DB2" w:rsidRPr="003E6C9B" w:rsidRDefault="00593DB2" w:rsidP="00593DB2">
      <w:pPr>
        <w:spacing w:after="0" w:line="360" w:lineRule="auto"/>
        <w:ind w:firstLine="708"/>
        <w:jc w:val="both"/>
        <w:rPr>
          <w:rFonts w:ascii="Times New Roman" w:hAnsi="Times New Roman"/>
          <w:sz w:val="24"/>
          <w:szCs w:val="24"/>
        </w:rPr>
      </w:pPr>
      <w:r w:rsidRPr="003E6C9B">
        <w:rPr>
          <w:rFonts w:ascii="Times New Roman" w:hAnsi="Times New Roman"/>
          <w:sz w:val="24"/>
          <w:szCs w:val="24"/>
        </w:rPr>
        <w:t>Se considerarmos a possibilidade do protestantismo ter sido percebido nas camadas sociais e políticas do Brasil do Primeiro Reinado, então seria válido associar a preocupação em afirmar o Catolicismo como religião mantida no Império com a tentativa de reprimir e apagar o protestantismo – enquanto ideologia política – do cenário das influências políticas e sociais. Daí toda a preocupação dos Parlamentares em manter distância de ideias que preguem os princípios de liberdade individual</w:t>
      </w:r>
      <w:r>
        <w:rPr>
          <w:rStyle w:val="Refdenotadefim"/>
          <w:rFonts w:ascii="Times New Roman" w:hAnsi="Times New Roman"/>
          <w:sz w:val="24"/>
          <w:szCs w:val="24"/>
        </w:rPr>
        <w:endnoteReference w:id="12"/>
      </w:r>
      <w:r w:rsidRPr="003E6C9B">
        <w:rPr>
          <w:rFonts w:ascii="Times New Roman" w:hAnsi="Times New Roman"/>
          <w:sz w:val="24"/>
          <w:szCs w:val="24"/>
        </w:rPr>
        <w:t>, bem como t</w:t>
      </w:r>
      <w:r>
        <w:rPr>
          <w:rFonts w:ascii="Times New Roman" w:hAnsi="Times New Roman"/>
          <w:sz w:val="24"/>
          <w:szCs w:val="24"/>
        </w:rPr>
        <w:t>odo o empreendimento de associar</w:t>
      </w:r>
      <w:r w:rsidRPr="003E6C9B">
        <w:rPr>
          <w:rFonts w:ascii="Times New Roman" w:hAnsi="Times New Roman"/>
          <w:sz w:val="24"/>
          <w:szCs w:val="24"/>
        </w:rPr>
        <w:t xml:space="preserve"> essas ideias à anarquia e a desordem social.</w:t>
      </w:r>
    </w:p>
    <w:p w:rsidR="00593DB2" w:rsidRPr="003E6C9B" w:rsidRDefault="00593DB2" w:rsidP="00593DB2">
      <w:pPr>
        <w:spacing w:after="0" w:line="360" w:lineRule="auto"/>
        <w:ind w:firstLine="708"/>
        <w:jc w:val="both"/>
        <w:rPr>
          <w:rFonts w:ascii="Times New Roman" w:hAnsi="Times New Roman"/>
          <w:sz w:val="24"/>
          <w:szCs w:val="24"/>
        </w:rPr>
      </w:pPr>
      <w:r w:rsidRPr="003E6C9B">
        <w:rPr>
          <w:rFonts w:ascii="Times New Roman" w:hAnsi="Times New Roman"/>
          <w:sz w:val="24"/>
          <w:szCs w:val="24"/>
        </w:rPr>
        <w:t>Alguns autores contemporâneos apontam para observações nesta direção, o que nos permite compreender um pouco mais sobre o que acabamos de fazer menção. Para estes, o protestantismo seria o responsável por todas as deficiências da sociedade democrática e industrial. Robert Beauvais, um autor católico, faz a seguinte menção sobre esta dinâmica:</w:t>
      </w:r>
      <w:r>
        <w:rPr>
          <w:rFonts w:ascii="Times New Roman" w:hAnsi="Times New Roman"/>
          <w:sz w:val="24"/>
          <w:szCs w:val="24"/>
        </w:rPr>
        <w:t xml:space="preserve"> “</w:t>
      </w:r>
      <w:r w:rsidRPr="003E6C9B">
        <w:rPr>
          <w:rFonts w:ascii="Times New Roman" w:hAnsi="Times New Roman"/>
          <w:sz w:val="24"/>
          <w:szCs w:val="24"/>
        </w:rPr>
        <w:t xml:space="preserve">Os cristãos reformados [...] são responsáveis pela destruição das antigas estruturas </w:t>
      </w:r>
      <w:r w:rsidRPr="003E6C9B">
        <w:rPr>
          <w:rFonts w:ascii="Times New Roman" w:hAnsi="Times New Roman"/>
          <w:sz w:val="24"/>
          <w:szCs w:val="24"/>
        </w:rPr>
        <w:lastRenderedPageBreak/>
        <w:t>hierárquicas e autoritárias, que proporcionaram aos países latinos a ordem, o respeito aos valores cristãos tradicionais e, por consequência, a hegemonia das nações europeias sobre o resto do mundo</w:t>
      </w:r>
      <w:r>
        <w:rPr>
          <w:rFonts w:ascii="Times New Roman" w:hAnsi="Times New Roman"/>
          <w:sz w:val="24"/>
          <w:szCs w:val="24"/>
        </w:rPr>
        <w:t>” (BEAUVAIS apud BIÉLER, 1999, pág. 33)</w:t>
      </w:r>
      <w:r w:rsidRPr="003E6C9B">
        <w:rPr>
          <w:rFonts w:ascii="Times New Roman" w:hAnsi="Times New Roman"/>
          <w:sz w:val="24"/>
          <w:szCs w:val="24"/>
        </w:rPr>
        <w:t>.</w:t>
      </w:r>
    </w:p>
    <w:p w:rsidR="00593DB2" w:rsidRPr="003E6C9B" w:rsidRDefault="00593DB2" w:rsidP="00593DB2">
      <w:pPr>
        <w:spacing w:after="0" w:line="360" w:lineRule="auto"/>
        <w:ind w:firstLine="708"/>
        <w:jc w:val="both"/>
        <w:rPr>
          <w:rFonts w:ascii="Times New Roman" w:hAnsi="Times New Roman"/>
          <w:sz w:val="24"/>
          <w:szCs w:val="24"/>
        </w:rPr>
      </w:pPr>
      <w:r w:rsidRPr="003E6C9B">
        <w:rPr>
          <w:rFonts w:ascii="Times New Roman" w:hAnsi="Times New Roman"/>
          <w:sz w:val="24"/>
          <w:szCs w:val="24"/>
        </w:rPr>
        <w:t>Esta citação é bastante emblemática, uma vez que nos remete à experiência política brasileira do Primeiro Reinado. O receio em se admitir certas concepções de liberdade individual estava intrinsecamente ligado ao combate à ideologia política pregada pelo protestantismo. A reforma protestante trouxe a possibilidade de promover no indivíduo a consciência de que ele mesmo pode ser um agente da história e, portanto, um elemento fundamental para que ocorr</w:t>
      </w:r>
      <w:r>
        <w:rPr>
          <w:rFonts w:ascii="Times New Roman" w:hAnsi="Times New Roman"/>
          <w:sz w:val="24"/>
          <w:szCs w:val="24"/>
        </w:rPr>
        <w:t>essem</w:t>
      </w:r>
      <w:r w:rsidRPr="003E6C9B">
        <w:rPr>
          <w:rFonts w:ascii="Times New Roman" w:hAnsi="Times New Roman"/>
          <w:sz w:val="24"/>
          <w:szCs w:val="24"/>
        </w:rPr>
        <w:t xml:space="preserve"> transformações no mundo. Esta ideia assustava os Parlamentares, pois para eles, a ideia de consciência individual poderia levar a sociedade a um caos.</w:t>
      </w:r>
    </w:p>
    <w:p w:rsidR="00593DB2" w:rsidRPr="003E6C9B" w:rsidRDefault="00593DB2" w:rsidP="00593DB2">
      <w:pPr>
        <w:spacing w:after="0" w:line="360" w:lineRule="auto"/>
        <w:ind w:firstLine="708"/>
        <w:jc w:val="both"/>
        <w:rPr>
          <w:rFonts w:ascii="Times New Roman" w:hAnsi="Times New Roman"/>
          <w:sz w:val="24"/>
          <w:szCs w:val="24"/>
        </w:rPr>
      </w:pPr>
      <w:r w:rsidRPr="003E6C9B">
        <w:rPr>
          <w:rFonts w:ascii="Times New Roman" w:hAnsi="Times New Roman"/>
          <w:sz w:val="24"/>
          <w:szCs w:val="24"/>
        </w:rPr>
        <w:t xml:space="preserve">Os debates parlamentares que fazem menção ao perigo da </w:t>
      </w:r>
      <w:r w:rsidRPr="001F6817">
        <w:rPr>
          <w:rFonts w:ascii="Times New Roman" w:hAnsi="Times New Roman"/>
          <w:i/>
          <w:sz w:val="24"/>
          <w:szCs w:val="24"/>
        </w:rPr>
        <w:t>anarquia</w:t>
      </w:r>
      <w:r w:rsidRPr="003E6C9B">
        <w:rPr>
          <w:rFonts w:ascii="Times New Roman" w:hAnsi="Times New Roman"/>
          <w:sz w:val="24"/>
          <w:szCs w:val="24"/>
        </w:rPr>
        <w:t xml:space="preserve"> social estão associados à ideia de </w:t>
      </w:r>
      <w:r w:rsidRPr="001F6817">
        <w:rPr>
          <w:rFonts w:ascii="Times New Roman" w:hAnsi="Times New Roman"/>
          <w:i/>
          <w:sz w:val="24"/>
          <w:szCs w:val="24"/>
        </w:rPr>
        <w:t>democracia</w:t>
      </w:r>
      <w:r w:rsidRPr="003E6C9B">
        <w:rPr>
          <w:rFonts w:ascii="Times New Roman" w:hAnsi="Times New Roman"/>
          <w:sz w:val="24"/>
          <w:szCs w:val="24"/>
        </w:rPr>
        <w:t>. E por isso, nesse sentido, fazemos uma possível referência ao protestantismo. E se esta inferência for válida, perceberemos que o combate às ideias de democracia era também o combate ao protestantismo. Porém, o primeiro questionamento a ser feito é: o protestantismo era conhecido e percebido no cenário social brasileiro da primeira metade do século XIX?</w:t>
      </w:r>
    </w:p>
    <w:p w:rsidR="00593DB2" w:rsidRPr="003E6C9B" w:rsidRDefault="00593DB2" w:rsidP="00593DB2">
      <w:pPr>
        <w:spacing w:after="0" w:line="360" w:lineRule="auto"/>
        <w:ind w:firstLine="708"/>
        <w:jc w:val="both"/>
        <w:rPr>
          <w:rFonts w:ascii="Times New Roman" w:hAnsi="Times New Roman"/>
          <w:sz w:val="24"/>
          <w:szCs w:val="24"/>
        </w:rPr>
      </w:pPr>
      <w:r w:rsidRPr="003E6C9B">
        <w:rPr>
          <w:rFonts w:ascii="Times New Roman" w:hAnsi="Times New Roman"/>
          <w:sz w:val="24"/>
          <w:szCs w:val="24"/>
        </w:rPr>
        <w:t xml:space="preserve">A resposta é positiva. Entretanto, não queremos argumentar pela via de um comentário mais profundo ao tão conhecido acontecimento da Abertura dos Portos em 1808, em que a Corte portuguesa instalada no Brasil, para manter relações mais estreitas com a Inglaterra, permite a vinda de ingleses na América Portuguesa. Pessoas essas que eram ligados ao Anglicanismo – uma das ramificações do protestantismo. Para que estes indivíduos se instalassem no Brasil, era necessário permitir que os mesmos não fossem impedidos de realizarem suas cerimônias religiosas. E foi permitido, embora que tais práticas fossem realizadas domesticamente. Entretanto, é uma ingenuidade pensar que as concepções religiosas protestantes </w:t>
      </w:r>
      <w:r>
        <w:rPr>
          <w:rFonts w:ascii="Times New Roman" w:hAnsi="Times New Roman"/>
          <w:sz w:val="24"/>
          <w:szCs w:val="24"/>
        </w:rPr>
        <w:t>ficaram no seio doméstico</w:t>
      </w:r>
      <w:r w:rsidRPr="003E6C9B">
        <w:rPr>
          <w:rFonts w:ascii="Times New Roman" w:hAnsi="Times New Roman"/>
          <w:sz w:val="24"/>
          <w:szCs w:val="24"/>
        </w:rPr>
        <w:t>. O protestantismo era sentido e combatido externamente.</w:t>
      </w:r>
    </w:p>
    <w:p w:rsidR="00593DB2" w:rsidRPr="003E6C9B" w:rsidRDefault="00593DB2" w:rsidP="00593DB2">
      <w:pPr>
        <w:spacing w:after="0" w:line="360" w:lineRule="auto"/>
        <w:ind w:firstLine="708"/>
        <w:jc w:val="both"/>
        <w:rPr>
          <w:rFonts w:ascii="Times New Roman" w:hAnsi="Times New Roman"/>
          <w:sz w:val="24"/>
          <w:szCs w:val="24"/>
        </w:rPr>
      </w:pPr>
      <w:r w:rsidRPr="003E6C9B">
        <w:rPr>
          <w:rFonts w:ascii="Times New Roman" w:hAnsi="Times New Roman"/>
          <w:sz w:val="24"/>
          <w:szCs w:val="24"/>
        </w:rPr>
        <w:t>Para termos um exemplo disto, citamos o padre Francisco do Monte Alverne, o orador e pregador oficial do Império do Brasil do Primeiro Reinado. Tivemos acesso a algumas de suas homilias e verificamos que, em algumas delas, há certo teor de oposição acerca das ideias protestantes. Em uma de suas pregações, ele cita:</w:t>
      </w:r>
    </w:p>
    <w:p w:rsidR="00593DB2" w:rsidRPr="003E6C9B" w:rsidRDefault="00593DB2" w:rsidP="00593DB2">
      <w:pPr>
        <w:spacing w:after="0" w:line="360" w:lineRule="auto"/>
        <w:ind w:firstLine="708"/>
        <w:jc w:val="both"/>
        <w:rPr>
          <w:rFonts w:ascii="Times New Roman" w:hAnsi="Times New Roman"/>
          <w:sz w:val="24"/>
          <w:szCs w:val="24"/>
        </w:rPr>
      </w:pPr>
    </w:p>
    <w:p w:rsidR="00593DB2" w:rsidRPr="00AD4AE1" w:rsidRDefault="00593DB2" w:rsidP="00593DB2">
      <w:pPr>
        <w:spacing w:after="0" w:line="240" w:lineRule="auto"/>
        <w:ind w:left="2268"/>
        <w:jc w:val="both"/>
        <w:rPr>
          <w:rFonts w:ascii="Times New Roman" w:hAnsi="Times New Roman"/>
        </w:rPr>
      </w:pPr>
      <w:r w:rsidRPr="00AD4AE1">
        <w:rPr>
          <w:rFonts w:ascii="Times New Roman" w:hAnsi="Times New Roman"/>
        </w:rPr>
        <w:t xml:space="preserve">Depois de mil e quinhentos anos a Igreja gozava d’uma certa aureola, que a distinguia de todos esses </w:t>
      </w:r>
      <w:r w:rsidRPr="00D43425">
        <w:rPr>
          <w:rFonts w:ascii="Times New Roman" w:hAnsi="Times New Roman"/>
          <w:i/>
        </w:rPr>
        <w:t>cultos informes</w:t>
      </w:r>
      <w:r w:rsidRPr="00AD4AE1">
        <w:rPr>
          <w:rFonts w:ascii="Times New Roman" w:hAnsi="Times New Roman"/>
        </w:rPr>
        <w:t xml:space="preserve">, que se mostram na ordem moral, </w:t>
      </w:r>
      <w:r w:rsidRPr="00AD4AE1">
        <w:rPr>
          <w:rFonts w:ascii="Times New Roman" w:hAnsi="Times New Roman"/>
        </w:rPr>
        <w:lastRenderedPageBreak/>
        <w:t xml:space="preserve">quais as sombras d’um quadro, para contrastar com os pontos luminosos[...] </w:t>
      </w:r>
      <w:r w:rsidRPr="00D43425">
        <w:rPr>
          <w:rFonts w:ascii="Times New Roman" w:hAnsi="Times New Roman"/>
          <w:i/>
        </w:rPr>
        <w:t>Apóstatas cobertos com o manto da hipocrisia  anunciavam uma reforma, que escondia todos os mistérios da iniquidade</w:t>
      </w:r>
      <w:r w:rsidRPr="00AD4AE1">
        <w:rPr>
          <w:rFonts w:ascii="Times New Roman" w:hAnsi="Times New Roman"/>
        </w:rPr>
        <w:t xml:space="preserve">. Uma raça de monstros sem filiação atacou os princípios mais essenciais da vitalidade; [...] rasgou os pergaminhos de sua genealogia. [...] </w:t>
      </w:r>
      <w:r w:rsidRPr="00D43425">
        <w:rPr>
          <w:rFonts w:ascii="Times New Roman" w:hAnsi="Times New Roman"/>
          <w:i/>
        </w:rPr>
        <w:t>Sujeitando a Religião à política, abria suas feridas, e [aumentava] seus prazeres</w:t>
      </w:r>
      <w:r w:rsidRPr="00AD4AE1">
        <w:rPr>
          <w:rStyle w:val="Refdenotadefim"/>
          <w:rFonts w:ascii="Times New Roman" w:hAnsi="Times New Roman"/>
        </w:rPr>
        <w:endnoteReference w:id="13"/>
      </w:r>
      <w:r w:rsidRPr="00AD4AE1">
        <w:rPr>
          <w:rFonts w:ascii="Times New Roman" w:hAnsi="Times New Roman"/>
        </w:rPr>
        <w:t>.</w:t>
      </w:r>
    </w:p>
    <w:p w:rsidR="00593DB2" w:rsidRPr="003E6C9B" w:rsidRDefault="00593DB2" w:rsidP="00593DB2">
      <w:pPr>
        <w:spacing w:after="0" w:line="360" w:lineRule="auto"/>
        <w:ind w:firstLine="708"/>
        <w:jc w:val="both"/>
        <w:rPr>
          <w:rFonts w:ascii="Times New Roman" w:hAnsi="Times New Roman"/>
          <w:sz w:val="24"/>
          <w:szCs w:val="24"/>
        </w:rPr>
      </w:pPr>
    </w:p>
    <w:p w:rsidR="00593DB2" w:rsidRPr="003E6C9B" w:rsidRDefault="00593DB2" w:rsidP="00593DB2">
      <w:pPr>
        <w:spacing w:after="0" w:line="360" w:lineRule="auto"/>
        <w:ind w:firstLine="708"/>
        <w:jc w:val="both"/>
        <w:rPr>
          <w:rFonts w:ascii="Times New Roman" w:hAnsi="Times New Roman"/>
          <w:sz w:val="24"/>
          <w:szCs w:val="24"/>
        </w:rPr>
      </w:pPr>
      <w:r w:rsidRPr="003E6C9B">
        <w:rPr>
          <w:rFonts w:ascii="Times New Roman" w:hAnsi="Times New Roman"/>
          <w:sz w:val="24"/>
          <w:szCs w:val="24"/>
        </w:rPr>
        <w:t>O que nos chama a atenção é o fato de que este sermão foi pregado na Capela Imperial, o mesmo lugar onde foi proferido o juramento proposto pelo Deputado Antônio Carlos. E o mais curioso: o sermão de que foi extraído o texto supracitado foi ouvido pelo então Imperador D. Pedro I. Mais adiante, veremos que o conhecimento que o Imperador possuía sobre o protestantismo estava implícito no discurso que ele proferiu na Sessão de abertura das atividades da Assemb</w:t>
      </w:r>
      <w:r>
        <w:rPr>
          <w:rFonts w:ascii="Times New Roman" w:hAnsi="Times New Roman"/>
          <w:sz w:val="24"/>
          <w:szCs w:val="24"/>
        </w:rPr>
        <w:t>l</w:t>
      </w:r>
      <w:r w:rsidRPr="003E6C9B">
        <w:rPr>
          <w:rFonts w:ascii="Times New Roman" w:hAnsi="Times New Roman"/>
          <w:sz w:val="24"/>
          <w:szCs w:val="24"/>
        </w:rPr>
        <w:t>eia Constituinte no dia 03 de Maio de 1823.</w:t>
      </w:r>
    </w:p>
    <w:p w:rsidR="00593DB2" w:rsidRPr="003E6C9B" w:rsidRDefault="00593DB2" w:rsidP="00593DB2">
      <w:pPr>
        <w:spacing w:after="0" w:line="360" w:lineRule="auto"/>
        <w:ind w:firstLine="708"/>
        <w:jc w:val="both"/>
        <w:rPr>
          <w:rFonts w:ascii="Times New Roman" w:hAnsi="Times New Roman"/>
          <w:sz w:val="24"/>
          <w:szCs w:val="24"/>
        </w:rPr>
      </w:pPr>
      <w:r w:rsidRPr="003E6C9B">
        <w:rPr>
          <w:rFonts w:ascii="Times New Roman" w:hAnsi="Times New Roman"/>
          <w:sz w:val="24"/>
          <w:szCs w:val="24"/>
        </w:rPr>
        <w:t>Se o protestantismo era conhecido e combatido no Brasil da primeira metade do século XIX, fazemos um segundo questionamento: como o protestantismo era percebido nos debates parlamentares da Câmara de Deputados? Foi possível perceber, na Assembleia Constituinte de 1823, que o protestantismo estava presente nestes debates, mesmo que implícita nas ideias de democracia e liberdade individual de consciência.</w:t>
      </w:r>
    </w:p>
    <w:p w:rsidR="00593DB2" w:rsidRPr="003E6C9B" w:rsidRDefault="00593DB2" w:rsidP="00593DB2">
      <w:pPr>
        <w:spacing w:after="0" w:line="360" w:lineRule="auto"/>
        <w:jc w:val="both"/>
        <w:rPr>
          <w:rFonts w:ascii="Times New Roman" w:hAnsi="Times New Roman"/>
          <w:sz w:val="24"/>
          <w:szCs w:val="24"/>
        </w:rPr>
      </w:pPr>
    </w:p>
    <w:p w:rsidR="003634CD" w:rsidRPr="00A3480E" w:rsidRDefault="00593DB2" w:rsidP="00593DB2">
      <w:pPr>
        <w:spacing w:after="0" w:line="360" w:lineRule="auto"/>
        <w:jc w:val="both"/>
        <w:rPr>
          <w:rFonts w:ascii="Times New Roman" w:hAnsi="Times New Roman"/>
          <w:b/>
          <w:i/>
          <w:sz w:val="24"/>
          <w:szCs w:val="24"/>
        </w:rPr>
      </w:pPr>
      <w:r w:rsidRPr="00AD4AE1">
        <w:rPr>
          <w:rFonts w:ascii="Times New Roman" w:hAnsi="Times New Roman"/>
          <w:b/>
          <w:sz w:val="24"/>
          <w:szCs w:val="24"/>
        </w:rPr>
        <w:t xml:space="preserve">O medo do </w:t>
      </w:r>
      <w:r w:rsidRPr="00D877AC">
        <w:rPr>
          <w:rFonts w:ascii="Times New Roman" w:hAnsi="Times New Roman"/>
          <w:b/>
          <w:i/>
          <w:sz w:val="24"/>
          <w:szCs w:val="24"/>
        </w:rPr>
        <w:t>Despotismo Democrático</w:t>
      </w:r>
    </w:p>
    <w:p w:rsidR="00593DB2" w:rsidRPr="003E6C9B" w:rsidRDefault="00593DB2" w:rsidP="00593DB2">
      <w:pPr>
        <w:spacing w:after="0" w:line="360" w:lineRule="auto"/>
        <w:ind w:firstLine="708"/>
        <w:jc w:val="both"/>
        <w:rPr>
          <w:rFonts w:ascii="Times New Roman" w:hAnsi="Times New Roman"/>
          <w:sz w:val="24"/>
          <w:szCs w:val="24"/>
        </w:rPr>
      </w:pPr>
      <w:r w:rsidRPr="003E6C9B">
        <w:rPr>
          <w:rFonts w:ascii="Times New Roman" w:hAnsi="Times New Roman"/>
          <w:sz w:val="24"/>
          <w:szCs w:val="24"/>
        </w:rPr>
        <w:t xml:space="preserve">Em 3 de Maio do referido ano, na sessão de abertura das atividades da Assembleia, D. Pedro I faz o seu primeiro discurso à Câmara dos Deputados. Dentre as palavras proferidas aos Parlamentares, o Imperador fez menção aos Parlamentares do Reino de Portugal como sendo inimigos da união e da tranquilidade. O que nos chama a atenção é o fato de que D. Pedro imprime para as cortes portuguesas o título de </w:t>
      </w:r>
      <w:r w:rsidRPr="003E6C9B">
        <w:rPr>
          <w:rFonts w:ascii="Times New Roman" w:hAnsi="Times New Roman"/>
          <w:i/>
          <w:sz w:val="24"/>
          <w:szCs w:val="24"/>
        </w:rPr>
        <w:t>democráticas</w:t>
      </w:r>
      <w:r w:rsidRPr="003E6C9B">
        <w:rPr>
          <w:rFonts w:ascii="Times New Roman" w:hAnsi="Times New Roman"/>
          <w:sz w:val="24"/>
          <w:szCs w:val="24"/>
        </w:rPr>
        <w:t>, o que nos sugere a negatividade de sentido que tal termo carregaria para ele. Após fazer uma longa exaltação de sua presença no Brasil, bem como os benefícios de sua permanência, o Imperador pronuncia tais palavras:</w:t>
      </w:r>
    </w:p>
    <w:p w:rsidR="00593DB2" w:rsidRPr="003E6C9B" w:rsidRDefault="00593DB2" w:rsidP="00593DB2">
      <w:pPr>
        <w:spacing w:after="0" w:line="360" w:lineRule="auto"/>
        <w:ind w:firstLine="708"/>
        <w:jc w:val="both"/>
        <w:rPr>
          <w:rFonts w:ascii="Times New Roman" w:hAnsi="Times New Roman"/>
          <w:sz w:val="24"/>
          <w:szCs w:val="24"/>
        </w:rPr>
      </w:pPr>
    </w:p>
    <w:p w:rsidR="00593DB2" w:rsidRPr="00AD4AE1" w:rsidRDefault="00593DB2" w:rsidP="00593DB2">
      <w:pPr>
        <w:spacing w:after="0" w:line="240" w:lineRule="auto"/>
        <w:ind w:left="2268"/>
        <w:jc w:val="both"/>
        <w:rPr>
          <w:rFonts w:ascii="Times New Roman" w:hAnsi="Times New Roman"/>
        </w:rPr>
      </w:pPr>
      <w:r w:rsidRPr="00AD4AE1">
        <w:rPr>
          <w:rFonts w:ascii="Times New Roman" w:hAnsi="Times New Roman"/>
        </w:rPr>
        <w:t xml:space="preserve">Me ajudeis [...], fazendo uma Constituição sábia, justa, adequada e executável [...]que sejam de tal modo organizados, e harmonizados, que lhes torne impossível, ainda pelo decurso do tempo, fazerem-se inimigos, e cada vez mais concorram de mãos dadas para a felicidade geral do Estado. Afinal, uma Constituição, que </w:t>
      </w:r>
      <w:r w:rsidRPr="00AD4AE1">
        <w:rPr>
          <w:rFonts w:ascii="Times New Roman" w:hAnsi="Times New Roman"/>
          <w:i/>
        </w:rPr>
        <w:t>pondo barreiras inacessíveis ao despotismo</w:t>
      </w:r>
      <w:r w:rsidRPr="00AD4AE1">
        <w:rPr>
          <w:rFonts w:ascii="Times New Roman" w:hAnsi="Times New Roman"/>
        </w:rPr>
        <w:t xml:space="preserve">, quer Real, quer Aristocrático, </w:t>
      </w:r>
      <w:r w:rsidRPr="00AD4AE1">
        <w:rPr>
          <w:rFonts w:ascii="Times New Roman" w:hAnsi="Times New Roman"/>
          <w:i/>
        </w:rPr>
        <w:t>quer Democrático, afugente a anarquia</w:t>
      </w:r>
      <w:r w:rsidRPr="00AD4AE1">
        <w:rPr>
          <w:rStyle w:val="Refdenotadefim"/>
          <w:rFonts w:ascii="Times New Roman" w:hAnsi="Times New Roman"/>
          <w:i/>
        </w:rPr>
        <w:endnoteReference w:id="14"/>
      </w:r>
      <w:r w:rsidRPr="00AD4AE1">
        <w:rPr>
          <w:rFonts w:ascii="Times New Roman" w:hAnsi="Times New Roman"/>
        </w:rPr>
        <w:t>.</w:t>
      </w:r>
    </w:p>
    <w:p w:rsidR="00593DB2" w:rsidRPr="003E6C9B" w:rsidRDefault="00593DB2" w:rsidP="00593DB2">
      <w:pPr>
        <w:spacing w:after="0" w:line="360" w:lineRule="auto"/>
        <w:ind w:firstLine="708"/>
        <w:jc w:val="both"/>
        <w:rPr>
          <w:rFonts w:ascii="Times New Roman" w:hAnsi="Times New Roman"/>
          <w:sz w:val="24"/>
          <w:szCs w:val="24"/>
        </w:rPr>
      </w:pPr>
    </w:p>
    <w:p w:rsidR="00593DB2" w:rsidRPr="003E6C9B" w:rsidRDefault="00593DB2" w:rsidP="00593DB2">
      <w:pPr>
        <w:spacing w:after="0" w:line="360" w:lineRule="auto"/>
        <w:ind w:firstLine="708"/>
        <w:jc w:val="both"/>
        <w:rPr>
          <w:rFonts w:ascii="Times New Roman" w:hAnsi="Times New Roman"/>
          <w:sz w:val="24"/>
          <w:szCs w:val="24"/>
        </w:rPr>
      </w:pPr>
      <w:r w:rsidRPr="003E6C9B">
        <w:rPr>
          <w:rFonts w:ascii="Times New Roman" w:hAnsi="Times New Roman"/>
          <w:sz w:val="24"/>
          <w:szCs w:val="24"/>
        </w:rPr>
        <w:t xml:space="preserve">É necessário esclarecer que não havia um combate à liberdade. A repressão que tanto está expresso nas palavras do Imperador quanto na dos Parlamentares está ao que eles </w:t>
      </w:r>
      <w:r w:rsidRPr="003E6C9B">
        <w:rPr>
          <w:rFonts w:ascii="Times New Roman" w:hAnsi="Times New Roman"/>
          <w:sz w:val="24"/>
          <w:szCs w:val="24"/>
        </w:rPr>
        <w:lastRenderedPageBreak/>
        <w:t xml:space="preserve">chamam de </w:t>
      </w:r>
      <w:r w:rsidRPr="003E6C9B">
        <w:rPr>
          <w:rFonts w:ascii="Times New Roman" w:hAnsi="Times New Roman"/>
          <w:i/>
          <w:sz w:val="24"/>
          <w:szCs w:val="24"/>
        </w:rPr>
        <w:t>licenciosa liberdade</w:t>
      </w:r>
      <w:r w:rsidRPr="003E6C9B">
        <w:rPr>
          <w:rFonts w:ascii="Times New Roman" w:hAnsi="Times New Roman"/>
          <w:sz w:val="24"/>
          <w:szCs w:val="24"/>
        </w:rPr>
        <w:t xml:space="preserve">, </w:t>
      </w:r>
      <w:r w:rsidRPr="00D75B1B">
        <w:rPr>
          <w:rFonts w:ascii="Times New Roman" w:hAnsi="Times New Roman"/>
          <w:sz w:val="24"/>
          <w:szCs w:val="24"/>
        </w:rPr>
        <w:t xml:space="preserve">como disse o Sr. Deputado Andrada Machado: “Eu não quero a </w:t>
      </w:r>
      <w:r w:rsidRPr="00D75B1B">
        <w:rPr>
          <w:rFonts w:ascii="Times New Roman" w:hAnsi="Times New Roman"/>
          <w:i/>
          <w:sz w:val="24"/>
          <w:szCs w:val="24"/>
        </w:rPr>
        <w:t>liberdade licenciosa</w:t>
      </w:r>
      <w:r w:rsidRPr="00D75B1B">
        <w:rPr>
          <w:rFonts w:ascii="Times New Roman" w:hAnsi="Times New Roman"/>
          <w:sz w:val="24"/>
          <w:szCs w:val="24"/>
        </w:rPr>
        <w:t>, mas a liberdade bem entendida”. É possível que tal terminologia esteja relacionada com princípios influenciados – em menor ou maior grau</w:t>
      </w:r>
      <w:r w:rsidRPr="003E6C9B">
        <w:rPr>
          <w:rFonts w:ascii="Times New Roman" w:hAnsi="Times New Roman"/>
          <w:sz w:val="24"/>
          <w:szCs w:val="24"/>
        </w:rPr>
        <w:t xml:space="preserve"> – pela ideologia protestante. Ou seja, a tão temida </w:t>
      </w:r>
      <w:r w:rsidRPr="003E6C9B">
        <w:rPr>
          <w:rFonts w:ascii="Times New Roman" w:hAnsi="Times New Roman"/>
          <w:i/>
          <w:sz w:val="24"/>
          <w:szCs w:val="24"/>
        </w:rPr>
        <w:t>licenciosidade</w:t>
      </w:r>
      <w:r w:rsidRPr="003E6C9B">
        <w:rPr>
          <w:rFonts w:ascii="Times New Roman" w:hAnsi="Times New Roman"/>
          <w:sz w:val="24"/>
          <w:szCs w:val="24"/>
        </w:rPr>
        <w:t xml:space="preserve"> poderia estar associada a concepções que envolviam os Direitos do Homem e o reconhecimento do indivíduo enquanto portador de uma consciência individual.</w:t>
      </w:r>
    </w:p>
    <w:p w:rsidR="00593DB2" w:rsidRPr="003E6C9B" w:rsidRDefault="00593DB2" w:rsidP="00593DB2">
      <w:pPr>
        <w:spacing w:after="0" w:line="360" w:lineRule="auto"/>
        <w:ind w:firstLine="708"/>
        <w:jc w:val="both"/>
        <w:rPr>
          <w:rFonts w:ascii="Times New Roman" w:hAnsi="Times New Roman"/>
          <w:sz w:val="24"/>
          <w:szCs w:val="24"/>
        </w:rPr>
      </w:pPr>
      <w:r w:rsidRPr="003E6C9B">
        <w:rPr>
          <w:rFonts w:ascii="Times New Roman" w:hAnsi="Times New Roman"/>
          <w:sz w:val="24"/>
          <w:szCs w:val="24"/>
        </w:rPr>
        <w:t xml:space="preserve">Segundo os pensadores políticos que apoiavam a ideologia política hegemônica do Brasil, admitir tal concepção seria marcar a data para o fim do Império, bem como da ordem vigente até então. Para que este </w:t>
      </w:r>
      <w:r w:rsidRPr="003E6C9B">
        <w:rPr>
          <w:rFonts w:ascii="Times New Roman" w:hAnsi="Times New Roman"/>
          <w:i/>
          <w:sz w:val="24"/>
          <w:szCs w:val="24"/>
        </w:rPr>
        <w:t>mal</w:t>
      </w:r>
      <w:r w:rsidRPr="003E6C9B">
        <w:rPr>
          <w:rFonts w:ascii="Times New Roman" w:hAnsi="Times New Roman"/>
          <w:sz w:val="24"/>
          <w:szCs w:val="24"/>
        </w:rPr>
        <w:t xml:space="preserve"> não aconteça no Brasil, D. Pedro I prossegue em seu discurso citando exemplos:</w:t>
      </w:r>
    </w:p>
    <w:p w:rsidR="00593DB2" w:rsidRPr="003E6C9B" w:rsidRDefault="00593DB2" w:rsidP="00593DB2">
      <w:pPr>
        <w:spacing w:after="0" w:line="360" w:lineRule="auto"/>
        <w:ind w:firstLine="708"/>
        <w:jc w:val="both"/>
        <w:rPr>
          <w:rFonts w:ascii="Times New Roman" w:hAnsi="Times New Roman"/>
          <w:sz w:val="24"/>
          <w:szCs w:val="24"/>
        </w:rPr>
      </w:pPr>
    </w:p>
    <w:p w:rsidR="00593DB2" w:rsidRPr="00AD4AE1" w:rsidRDefault="00593DB2" w:rsidP="00593DB2">
      <w:pPr>
        <w:spacing w:after="0" w:line="240" w:lineRule="auto"/>
        <w:ind w:left="2268"/>
        <w:jc w:val="both"/>
        <w:rPr>
          <w:rFonts w:ascii="Times New Roman" w:hAnsi="Times New Roman"/>
        </w:rPr>
      </w:pPr>
      <w:r w:rsidRPr="00AD4AE1">
        <w:rPr>
          <w:rFonts w:ascii="Times New Roman" w:hAnsi="Times New Roman"/>
        </w:rPr>
        <w:t xml:space="preserve">Todas as Constituições, que a maneira das de 1791, e 92, tem estabelecido suas bases, e se tem querido organizar, a experiência nos tem mostrado, que são totalmente teoréticas, e metafísicas, e por isso inexequíveis; assim o prova a França, Espanha, e ultimamente Portugal. Elas não tem feito, como deveriam, a felicidade geral; mas sim, </w:t>
      </w:r>
      <w:r w:rsidRPr="00AD4AE1">
        <w:rPr>
          <w:rFonts w:ascii="Times New Roman" w:hAnsi="Times New Roman"/>
          <w:i/>
        </w:rPr>
        <w:t>depois de uma licenciosa liberdade</w:t>
      </w:r>
      <w:r w:rsidRPr="00AD4AE1">
        <w:rPr>
          <w:rFonts w:ascii="Times New Roman" w:hAnsi="Times New Roman"/>
        </w:rPr>
        <w:t xml:space="preserve">, vemos, que </w:t>
      </w:r>
      <w:r w:rsidRPr="00AD4AE1">
        <w:rPr>
          <w:rFonts w:ascii="Times New Roman" w:hAnsi="Times New Roman"/>
          <w:i/>
        </w:rPr>
        <w:t>em uns países já apareceu, e em outros não tarda a aparecer o Despotismo</w:t>
      </w:r>
      <w:r w:rsidRPr="00AD4AE1">
        <w:rPr>
          <w:rFonts w:ascii="Times New Roman" w:hAnsi="Times New Roman"/>
        </w:rPr>
        <w:t xml:space="preserve"> [democrático] em um, e depois de ter sido exercitado por muitos, </w:t>
      </w:r>
      <w:r w:rsidRPr="00AD4AE1">
        <w:rPr>
          <w:rFonts w:ascii="Times New Roman" w:hAnsi="Times New Roman"/>
          <w:i/>
        </w:rPr>
        <w:t>sendo consequência necessária, ficarem os povos reduzidos à triste situação de presenciarem, e sofrerem todos os horrores da Anarquia</w:t>
      </w:r>
      <w:r w:rsidRPr="00AD4AE1">
        <w:rPr>
          <w:rStyle w:val="Refdenotadefim"/>
          <w:rFonts w:ascii="Times New Roman" w:hAnsi="Times New Roman"/>
          <w:i/>
        </w:rPr>
        <w:endnoteReference w:id="15"/>
      </w:r>
      <w:r w:rsidRPr="00AD4AE1">
        <w:rPr>
          <w:rFonts w:ascii="Times New Roman" w:hAnsi="Times New Roman"/>
        </w:rPr>
        <w:t>.</w:t>
      </w:r>
    </w:p>
    <w:p w:rsidR="00593DB2" w:rsidRPr="003E6C9B" w:rsidRDefault="00593DB2" w:rsidP="00593DB2">
      <w:pPr>
        <w:spacing w:after="0" w:line="360" w:lineRule="auto"/>
        <w:ind w:firstLine="708"/>
        <w:jc w:val="both"/>
        <w:rPr>
          <w:rFonts w:ascii="Times New Roman" w:hAnsi="Times New Roman"/>
          <w:sz w:val="24"/>
          <w:szCs w:val="24"/>
        </w:rPr>
      </w:pPr>
    </w:p>
    <w:p w:rsidR="00593DB2" w:rsidRPr="003E6C9B" w:rsidRDefault="00593DB2" w:rsidP="00593DB2">
      <w:pPr>
        <w:spacing w:after="0" w:line="360" w:lineRule="auto"/>
        <w:ind w:firstLine="708"/>
        <w:jc w:val="both"/>
        <w:rPr>
          <w:rFonts w:ascii="Times New Roman" w:hAnsi="Times New Roman"/>
          <w:sz w:val="24"/>
          <w:szCs w:val="24"/>
        </w:rPr>
      </w:pPr>
      <w:r w:rsidRPr="003E6C9B">
        <w:rPr>
          <w:rFonts w:ascii="Times New Roman" w:hAnsi="Times New Roman"/>
          <w:sz w:val="24"/>
          <w:szCs w:val="24"/>
        </w:rPr>
        <w:t xml:space="preserve">Vejamos que proteger o Brasil do </w:t>
      </w:r>
      <w:r w:rsidRPr="003E6C9B">
        <w:rPr>
          <w:rFonts w:ascii="Times New Roman" w:hAnsi="Times New Roman"/>
          <w:i/>
          <w:sz w:val="24"/>
          <w:szCs w:val="24"/>
        </w:rPr>
        <w:t>despotismo democrático</w:t>
      </w:r>
      <w:r w:rsidRPr="003E6C9B">
        <w:rPr>
          <w:rFonts w:ascii="Times New Roman" w:hAnsi="Times New Roman"/>
          <w:sz w:val="24"/>
          <w:szCs w:val="24"/>
        </w:rPr>
        <w:t xml:space="preserve"> era ao mesmo tempo protege-lo da ideologia protestante ao qual ele estava associado. Se lembrarmos das revoluções inglesa e americana, ambas tinham como plano de fundo a ideologia política protestante. Pensar na sociedade civil como sendo reflexo da sociedade eclesiástica é uma das características do pensamento protestante, em especial o protestantismo de vertente calvinista. André Biéler menciona que “Calvino foi intransigente num ponto: a Igreja devia ser independente espiritualmente do Estado e soberana em todas as suas decisões. E a sociedade civil devia ser organizada e pensada a partir do modelo democrático da Igreja, concebido segundo os princípios da Palavra de Deus” (BIÉLER, 1999, pág. 72).</w:t>
      </w:r>
    </w:p>
    <w:p w:rsidR="00593DB2" w:rsidRPr="003E6C9B" w:rsidRDefault="00593DB2" w:rsidP="00593DB2">
      <w:pPr>
        <w:spacing w:after="0" w:line="360" w:lineRule="auto"/>
        <w:ind w:firstLine="708"/>
        <w:jc w:val="both"/>
        <w:rPr>
          <w:rFonts w:ascii="Times New Roman" w:hAnsi="Times New Roman"/>
          <w:sz w:val="24"/>
          <w:szCs w:val="24"/>
        </w:rPr>
      </w:pPr>
      <w:r w:rsidRPr="003E6C9B">
        <w:rPr>
          <w:rFonts w:ascii="Times New Roman" w:hAnsi="Times New Roman"/>
          <w:sz w:val="24"/>
          <w:szCs w:val="24"/>
        </w:rPr>
        <w:t>Logo, é possível que o medo dos Parlamentares fosse o de ver o Estado separado da Igreja. Isso é passível de verossimilhança, uma vez que autores como Guilherme Pereira das Neves demonstram que o Estado brasileiro do Primeiro Reinado foi quase que uma continuação do padroado real pombalino estabelecido no século XVIII.</w:t>
      </w:r>
    </w:p>
    <w:p w:rsidR="00593DB2" w:rsidRDefault="00593DB2" w:rsidP="00593DB2">
      <w:pPr>
        <w:spacing w:after="0" w:line="360" w:lineRule="auto"/>
        <w:ind w:firstLine="708"/>
        <w:jc w:val="both"/>
        <w:rPr>
          <w:rFonts w:ascii="Times New Roman" w:hAnsi="Times New Roman"/>
          <w:sz w:val="24"/>
          <w:szCs w:val="24"/>
        </w:rPr>
      </w:pPr>
    </w:p>
    <w:p w:rsidR="009E498B" w:rsidRDefault="009E498B" w:rsidP="00593DB2">
      <w:pPr>
        <w:spacing w:after="0" w:line="360" w:lineRule="auto"/>
        <w:ind w:firstLine="708"/>
        <w:jc w:val="both"/>
        <w:rPr>
          <w:rFonts w:ascii="Times New Roman" w:hAnsi="Times New Roman"/>
          <w:sz w:val="24"/>
          <w:szCs w:val="24"/>
        </w:rPr>
      </w:pPr>
    </w:p>
    <w:p w:rsidR="009E498B" w:rsidRPr="003E6C9B" w:rsidRDefault="009E498B" w:rsidP="00593DB2">
      <w:pPr>
        <w:spacing w:after="0" w:line="360" w:lineRule="auto"/>
        <w:ind w:firstLine="708"/>
        <w:jc w:val="both"/>
        <w:rPr>
          <w:rFonts w:ascii="Times New Roman" w:hAnsi="Times New Roman"/>
          <w:sz w:val="24"/>
          <w:szCs w:val="24"/>
        </w:rPr>
      </w:pPr>
    </w:p>
    <w:p w:rsidR="003634CD" w:rsidRPr="00D877AC" w:rsidRDefault="00593DB2" w:rsidP="00593DB2">
      <w:pPr>
        <w:spacing w:after="0" w:line="360" w:lineRule="auto"/>
        <w:jc w:val="both"/>
        <w:rPr>
          <w:rFonts w:ascii="Times New Roman" w:hAnsi="Times New Roman"/>
          <w:b/>
          <w:sz w:val="24"/>
          <w:szCs w:val="24"/>
        </w:rPr>
      </w:pPr>
      <w:r w:rsidRPr="00D877AC">
        <w:rPr>
          <w:rFonts w:ascii="Times New Roman" w:hAnsi="Times New Roman"/>
          <w:b/>
          <w:sz w:val="24"/>
          <w:szCs w:val="24"/>
        </w:rPr>
        <w:lastRenderedPageBreak/>
        <w:t>Considerações Finais</w:t>
      </w:r>
    </w:p>
    <w:p w:rsidR="00593DB2" w:rsidRPr="003E6C9B" w:rsidRDefault="00593DB2" w:rsidP="00593DB2">
      <w:pPr>
        <w:spacing w:after="0" w:line="360" w:lineRule="auto"/>
        <w:ind w:firstLine="708"/>
        <w:jc w:val="both"/>
        <w:rPr>
          <w:rFonts w:ascii="Times New Roman" w:hAnsi="Times New Roman"/>
          <w:sz w:val="24"/>
          <w:szCs w:val="24"/>
        </w:rPr>
      </w:pPr>
      <w:r w:rsidRPr="003E6C9B">
        <w:rPr>
          <w:rFonts w:ascii="Times New Roman" w:hAnsi="Times New Roman"/>
          <w:sz w:val="24"/>
          <w:szCs w:val="24"/>
        </w:rPr>
        <w:t>É no mínimo estranho não vermos com mais frequência estudos que abordem com mais clareza as relações entre religião e ideologia política no Primeiro Reinado. Devido a esta lacuna nos propomos a trabalhar sobre esta temática. Se percebermos melhor o contexto daquele período, chegaremos a um consenso de que a religião foi um dos atores principais no cenário político brasileiro.</w:t>
      </w:r>
    </w:p>
    <w:p w:rsidR="00593DB2" w:rsidRPr="003E6C9B" w:rsidRDefault="00593DB2" w:rsidP="00593DB2">
      <w:pPr>
        <w:spacing w:after="0" w:line="360" w:lineRule="auto"/>
        <w:ind w:firstLine="708"/>
        <w:jc w:val="both"/>
        <w:rPr>
          <w:rFonts w:ascii="Times New Roman" w:hAnsi="Times New Roman"/>
          <w:sz w:val="24"/>
          <w:szCs w:val="24"/>
        </w:rPr>
      </w:pPr>
      <w:r w:rsidRPr="003E6C9B">
        <w:rPr>
          <w:rFonts w:ascii="Times New Roman" w:hAnsi="Times New Roman"/>
          <w:sz w:val="24"/>
          <w:szCs w:val="24"/>
        </w:rPr>
        <w:t xml:space="preserve">Tal concepção pode ser sentida quando nos aprofundamos nos debates parlamentares da Assembleia Geral Constituinte de 1823. No dia 3 de Maio do referido ano, o Presidente da Câmara, o Deputado e Bispo D. José Caetano da Silva Coutinho, responde ao discurso proferido pelo Imperador D. Pedro I. Em suas palavras, ele cita que “os talentos, e as luzes da Assembleia hão de levantar certamente com toda a perfeição, e sabedoria a complicada máquina do Estado, mas o que nos afiança a regularidade, a constância, e a perpetuidade de seus movimentos são as virtudes, as paixões [...], os bons costumes [...], </w:t>
      </w:r>
      <w:r w:rsidRPr="003E6C9B">
        <w:rPr>
          <w:rFonts w:ascii="Times New Roman" w:hAnsi="Times New Roman"/>
          <w:i/>
          <w:sz w:val="24"/>
          <w:szCs w:val="24"/>
        </w:rPr>
        <w:t>os sinceros sentimentos religiosos das Autoridades públicas, e dos indivíduos particulares. Não, Senhor, as santas virtudes não hão de abandonarmos, enquanto não abandonarmos a Religião de nossos Pais, que havemos jurado</w:t>
      </w:r>
      <w:r w:rsidRPr="003E6C9B">
        <w:rPr>
          <w:rFonts w:ascii="Times New Roman" w:hAnsi="Times New Roman"/>
          <w:sz w:val="24"/>
          <w:szCs w:val="24"/>
        </w:rPr>
        <w:t>”</w:t>
      </w:r>
      <w:r>
        <w:rPr>
          <w:rStyle w:val="Refdenotadefim"/>
          <w:rFonts w:ascii="Times New Roman" w:hAnsi="Times New Roman"/>
          <w:sz w:val="24"/>
          <w:szCs w:val="24"/>
        </w:rPr>
        <w:endnoteReference w:id="16"/>
      </w:r>
      <w:r w:rsidRPr="003E6C9B">
        <w:rPr>
          <w:rFonts w:ascii="Times New Roman" w:hAnsi="Times New Roman"/>
          <w:sz w:val="24"/>
          <w:szCs w:val="24"/>
        </w:rPr>
        <w:t>.</w:t>
      </w:r>
    </w:p>
    <w:p w:rsidR="00593DB2" w:rsidRPr="003E6C9B" w:rsidRDefault="00593DB2" w:rsidP="00593DB2">
      <w:pPr>
        <w:spacing w:after="0" w:line="360" w:lineRule="auto"/>
        <w:ind w:firstLine="708"/>
        <w:jc w:val="both"/>
        <w:rPr>
          <w:rFonts w:ascii="Times New Roman" w:hAnsi="Times New Roman"/>
          <w:sz w:val="24"/>
          <w:szCs w:val="24"/>
        </w:rPr>
      </w:pPr>
      <w:r w:rsidRPr="003E6C9B">
        <w:rPr>
          <w:rFonts w:ascii="Times New Roman" w:hAnsi="Times New Roman"/>
          <w:sz w:val="24"/>
          <w:szCs w:val="24"/>
        </w:rPr>
        <w:t>Não abandonar a religião dos pais era não abrir mão de uma ideologia que afiançava toda uma ordem política, social, econômica e cultural. Além do mais, era uma forma de fortalecer concepções ligadas a um pensamento hegemônico que, segundo as palavras do próprio D. Pedro I, forneçam barreiras sólidas e impenetráveis contra toda e qualquer tipo de ideia heterodoxa.</w:t>
      </w:r>
    </w:p>
    <w:p w:rsidR="00593DB2" w:rsidRDefault="00593DB2" w:rsidP="00593DB2">
      <w:pPr>
        <w:spacing w:after="0" w:line="360" w:lineRule="auto"/>
        <w:ind w:firstLine="708"/>
        <w:jc w:val="both"/>
        <w:rPr>
          <w:rFonts w:ascii="Times New Roman" w:hAnsi="Times New Roman"/>
          <w:sz w:val="24"/>
          <w:szCs w:val="24"/>
        </w:rPr>
      </w:pPr>
      <w:r w:rsidRPr="003E6C9B">
        <w:rPr>
          <w:rFonts w:ascii="Times New Roman" w:hAnsi="Times New Roman"/>
          <w:sz w:val="24"/>
          <w:szCs w:val="24"/>
        </w:rPr>
        <w:t>Nesse limiar de pensamento, também nos apercebemos que o protestantismo, formadora de uma ideologia política estava presente nos debates parlamentares. Tal concepção era combatida, pois não combinava com o arranjo político proposto por aqueles que pensavam no Brasil enquanto um Império hierarquizado, moldado nos costumes e tradições herdadas do Catolicismo. Acreditamos que muito há de se explorar acerca das dinâmicas que envolveram o protestantismo e sua ideologia política no Brasil do Primeiro Reinado. Nosso desejo é alargar o horizonte de investigação, a fim de que o conhecimento sobre estas temáticas se tornem proveitosas, bem como através destes estudos saiamos do censo comum – uma forma equivocada de perceber as coisas.</w:t>
      </w:r>
    </w:p>
    <w:p w:rsidR="00593DB2" w:rsidRDefault="00593DB2" w:rsidP="00593DB2">
      <w:pPr>
        <w:spacing w:after="0" w:line="360" w:lineRule="auto"/>
        <w:ind w:firstLine="708"/>
        <w:jc w:val="both"/>
        <w:rPr>
          <w:rFonts w:ascii="Times New Roman" w:hAnsi="Times New Roman"/>
          <w:sz w:val="24"/>
          <w:szCs w:val="24"/>
        </w:rPr>
      </w:pPr>
    </w:p>
    <w:p w:rsidR="00A22A1F" w:rsidRDefault="00A22A1F"/>
    <w:sectPr w:rsidR="00A22A1F" w:rsidSect="003634CD">
      <w:endnotePr>
        <w:numFmt w:val="decimal"/>
      </w:endnotePr>
      <w:pgSz w:w="11906" w:h="16838"/>
      <w:pgMar w:top="1701" w:right="1134"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D1624" w:rsidRDefault="00DD1624" w:rsidP="00593DB2">
      <w:pPr>
        <w:spacing w:after="0" w:line="240" w:lineRule="auto"/>
      </w:pPr>
      <w:r>
        <w:separator/>
      </w:r>
    </w:p>
  </w:endnote>
  <w:endnote w:type="continuationSeparator" w:id="1">
    <w:p w:rsidR="00DD1624" w:rsidRDefault="00DD1624" w:rsidP="00593DB2">
      <w:pPr>
        <w:spacing w:after="0" w:line="240" w:lineRule="auto"/>
      </w:pPr>
      <w:r>
        <w:continuationSeparator/>
      </w:r>
    </w:p>
  </w:endnote>
  <w:endnote w:id="2">
    <w:p w:rsidR="00593DB2" w:rsidRPr="00BD3B02" w:rsidRDefault="00593DB2" w:rsidP="00593DB2">
      <w:pPr>
        <w:pStyle w:val="Textodenotadefim"/>
        <w:jc w:val="both"/>
        <w:rPr>
          <w:rFonts w:ascii="Times New Roman" w:hAnsi="Times New Roman"/>
        </w:rPr>
      </w:pPr>
      <w:r>
        <w:rPr>
          <w:rStyle w:val="Refdenotadefim"/>
        </w:rPr>
        <w:t>*</w:t>
      </w:r>
      <w:r>
        <w:t xml:space="preserve"> </w:t>
      </w:r>
      <w:r w:rsidRPr="00BD3B02">
        <w:rPr>
          <w:rFonts w:ascii="Times New Roman" w:hAnsi="Times New Roman"/>
        </w:rPr>
        <w:t>Aluno graduando</w:t>
      </w:r>
      <w:r>
        <w:rPr>
          <w:rFonts w:ascii="Times New Roman" w:hAnsi="Times New Roman"/>
        </w:rPr>
        <w:t xml:space="preserve"> do curso de </w:t>
      </w:r>
      <w:r w:rsidRPr="00BD3B02">
        <w:rPr>
          <w:rFonts w:ascii="Times New Roman" w:hAnsi="Times New Roman"/>
        </w:rPr>
        <w:t>História pela Universidade Federal de Campina Grande (UFCG), pesquisador e bolsista do programa de iniciação científica (PIBIC) vinculado ao Cnpq. Atualmente está desenvolvendo um projeto de pesquisa intitulado “Protestantismo e ideologia no Brasil Império – 1822-1840”.</w:t>
      </w:r>
    </w:p>
  </w:endnote>
  <w:endnote w:id="3">
    <w:p w:rsidR="003634CD" w:rsidRDefault="003634CD" w:rsidP="00593DB2">
      <w:pPr>
        <w:pStyle w:val="Textodenotadefim"/>
        <w:spacing w:after="0" w:line="240" w:lineRule="auto"/>
        <w:jc w:val="both"/>
        <w:rPr>
          <w:rFonts w:ascii="Times New Roman" w:hAnsi="Times New Roman"/>
          <w:b/>
          <w:sz w:val="24"/>
          <w:szCs w:val="24"/>
        </w:rPr>
      </w:pPr>
    </w:p>
    <w:p w:rsidR="003634CD" w:rsidRDefault="003634CD" w:rsidP="00593DB2">
      <w:pPr>
        <w:pStyle w:val="Textodenotadefim"/>
        <w:spacing w:after="0" w:line="240" w:lineRule="auto"/>
        <w:jc w:val="both"/>
        <w:rPr>
          <w:rFonts w:ascii="Times New Roman" w:hAnsi="Times New Roman"/>
          <w:b/>
          <w:sz w:val="24"/>
          <w:szCs w:val="24"/>
        </w:rPr>
      </w:pPr>
    </w:p>
    <w:p w:rsidR="003634CD" w:rsidRDefault="003634CD" w:rsidP="00593DB2">
      <w:pPr>
        <w:pStyle w:val="Textodenotadefim"/>
        <w:spacing w:after="0" w:line="240" w:lineRule="auto"/>
        <w:jc w:val="both"/>
        <w:rPr>
          <w:rFonts w:ascii="Times New Roman" w:hAnsi="Times New Roman"/>
          <w:b/>
          <w:sz w:val="24"/>
          <w:szCs w:val="24"/>
        </w:rPr>
      </w:pPr>
    </w:p>
    <w:p w:rsidR="003634CD" w:rsidRDefault="003634CD" w:rsidP="00593DB2">
      <w:pPr>
        <w:pStyle w:val="Textodenotadefim"/>
        <w:spacing w:after="0" w:line="240" w:lineRule="auto"/>
        <w:jc w:val="both"/>
        <w:rPr>
          <w:rFonts w:ascii="Times New Roman" w:hAnsi="Times New Roman"/>
          <w:b/>
          <w:sz w:val="24"/>
          <w:szCs w:val="24"/>
        </w:rPr>
      </w:pPr>
    </w:p>
    <w:p w:rsidR="003634CD" w:rsidRDefault="003634CD" w:rsidP="00593DB2">
      <w:pPr>
        <w:pStyle w:val="Textodenotadefim"/>
        <w:spacing w:after="0" w:line="240" w:lineRule="auto"/>
        <w:jc w:val="both"/>
        <w:rPr>
          <w:rFonts w:ascii="Times New Roman" w:hAnsi="Times New Roman"/>
          <w:b/>
          <w:sz w:val="24"/>
          <w:szCs w:val="24"/>
        </w:rPr>
      </w:pPr>
    </w:p>
    <w:p w:rsidR="003634CD" w:rsidRDefault="003634CD" w:rsidP="00593DB2">
      <w:pPr>
        <w:pStyle w:val="Textodenotadefim"/>
        <w:spacing w:after="0" w:line="240" w:lineRule="auto"/>
        <w:jc w:val="both"/>
        <w:rPr>
          <w:rFonts w:ascii="Times New Roman" w:hAnsi="Times New Roman"/>
          <w:b/>
          <w:sz w:val="24"/>
          <w:szCs w:val="24"/>
        </w:rPr>
      </w:pPr>
    </w:p>
    <w:p w:rsidR="003634CD" w:rsidRPr="00897FD5" w:rsidRDefault="003634CD" w:rsidP="003634CD">
      <w:pPr>
        <w:spacing w:after="0" w:line="240" w:lineRule="auto"/>
        <w:jc w:val="both"/>
        <w:rPr>
          <w:rFonts w:ascii="Times New Roman" w:hAnsi="Times New Roman"/>
          <w:b/>
          <w:sz w:val="24"/>
          <w:szCs w:val="24"/>
        </w:rPr>
      </w:pPr>
      <w:r>
        <w:rPr>
          <w:rFonts w:ascii="Times New Roman" w:hAnsi="Times New Roman"/>
          <w:b/>
          <w:sz w:val="24"/>
          <w:szCs w:val="24"/>
        </w:rPr>
        <w:t>R</w:t>
      </w:r>
      <w:r w:rsidRPr="00897FD5">
        <w:rPr>
          <w:rFonts w:ascii="Times New Roman" w:hAnsi="Times New Roman"/>
          <w:b/>
          <w:sz w:val="24"/>
          <w:szCs w:val="24"/>
        </w:rPr>
        <w:t>eferências bibliográficas</w:t>
      </w:r>
      <w:r>
        <w:rPr>
          <w:rFonts w:ascii="Times New Roman" w:hAnsi="Times New Roman"/>
          <w:b/>
          <w:sz w:val="24"/>
          <w:szCs w:val="24"/>
        </w:rPr>
        <w:t>:</w:t>
      </w:r>
    </w:p>
    <w:p w:rsidR="003634CD" w:rsidRDefault="003634CD" w:rsidP="003634CD">
      <w:pPr>
        <w:spacing w:after="0" w:line="240" w:lineRule="auto"/>
        <w:jc w:val="both"/>
        <w:rPr>
          <w:rFonts w:ascii="Times New Roman" w:hAnsi="Times New Roman"/>
          <w:sz w:val="24"/>
          <w:szCs w:val="24"/>
        </w:rPr>
      </w:pPr>
    </w:p>
    <w:p w:rsidR="003634CD" w:rsidRPr="003634CD" w:rsidRDefault="003634CD" w:rsidP="003634CD">
      <w:pPr>
        <w:spacing w:after="0" w:line="240" w:lineRule="auto"/>
        <w:jc w:val="both"/>
        <w:rPr>
          <w:rFonts w:ascii="Times New Roman" w:hAnsi="Times New Roman"/>
          <w:sz w:val="24"/>
          <w:szCs w:val="24"/>
        </w:rPr>
      </w:pPr>
      <w:r w:rsidRPr="003634CD">
        <w:rPr>
          <w:rFonts w:ascii="Times New Roman" w:hAnsi="Times New Roman"/>
          <w:sz w:val="24"/>
          <w:szCs w:val="24"/>
        </w:rPr>
        <w:t>NEVES, Guilherme Pereira das. A religião do Império e a Igreja. In: GRINBERG, Keila e SALES, Ricardo (orgs.). O Brasil Imperial, Volume I (1808–1831). Rio de Janeiro: Civilização Brasileira, 2009, pág. 379–428.</w:t>
      </w:r>
    </w:p>
    <w:p w:rsidR="003634CD" w:rsidRPr="003634CD" w:rsidRDefault="003634CD" w:rsidP="003634CD">
      <w:pPr>
        <w:spacing w:after="0" w:line="240" w:lineRule="auto"/>
        <w:jc w:val="both"/>
        <w:rPr>
          <w:rFonts w:ascii="Times New Roman" w:hAnsi="Times New Roman"/>
          <w:sz w:val="24"/>
          <w:szCs w:val="24"/>
        </w:rPr>
      </w:pPr>
    </w:p>
    <w:p w:rsidR="003634CD" w:rsidRPr="003634CD" w:rsidRDefault="003634CD" w:rsidP="003634CD">
      <w:pPr>
        <w:spacing w:after="0" w:line="240" w:lineRule="auto"/>
        <w:jc w:val="both"/>
        <w:rPr>
          <w:rFonts w:ascii="Times New Roman" w:hAnsi="Times New Roman"/>
          <w:sz w:val="24"/>
          <w:szCs w:val="24"/>
        </w:rPr>
      </w:pPr>
      <w:r w:rsidRPr="003634CD">
        <w:rPr>
          <w:rFonts w:ascii="Times New Roman" w:hAnsi="Times New Roman"/>
          <w:sz w:val="24"/>
          <w:szCs w:val="24"/>
        </w:rPr>
        <w:t>SANTOS, João Marcos Leitão. Protestantismo e tradicionalismo Católico em Pernambuco no século XIX. In: BRANDÃO, Sylvana (org.). História das Religiões no Brasil. Vol. 6. Recife: UFPE, 2011, pág. 13–30.</w:t>
      </w:r>
    </w:p>
    <w:p w:rsidR="003634CD" w:rsidRPr="003634CD" w:rsidRDefault="003634CD" w:rsidP="003634CD">
      <w:pPr>
        <w:spacing w:after="0" w:line="240" w:lineRule="auto"/>
        <w:jc w:val="both"/>
        <w:rPr>
          <w:rFonts w:ascii="Times New Roman" w:hAnsi="Times New Roman"/>
          <w:sz w:val="24"/>
          <w:szCs w:val="24"/>
          <w:lang w:val="pt-PT"/>
        </w:rPr>
      </w:pPr>
    </w:p>
    <w:p w:rsidR="003634CD" w:rsidRPr="003634CD" w:rsidRDefault="003634CD" w:rsidP="003634CD">
      <w:pPr>
        <w:spacing w:after="0" w:line="240" w:lineRule="auto"/>
        <w:jc w:val="both"/>
        <w:rPr>
          <w:rFonts w:ascii="Times New Roman" w:hAnsi="Times New Roman"/>
          <w:sz w:val="24"/>
          <w:szCs w:val="24"/>
          <w:lang w:val="pt-PT"/>
        </w:rPr>
      </w:pPr>
      <w:r w:rsidRPr="003634CD">
        <w:rPr>
          <w:rFonts w:ascii="Times New Roman" w:hAnsi="Times New Roman"/>
          <w:sz w:val="24"/>
          <w:szCs w:val="24"/>
          <w:lang w:val="pt-PT"/>
        </w:rPr>
        <w:t>EAGLETON, Terry. Ideologia: uma introdução. São Paulo: Editora UNESP: Editora Boitempo, 1997.</w:t>
      </w:r>
    </w:p>
    <w:p w:rsidR="003634CD" w:rsidRPr="003634CD" w:rsidRDefault="003634CD" w:rsidP="003634CD">
      <w:pPr>
        <w:spacing w:after="0" w:line="240" w:lineRule="auto"/>
        <w:jc w:val="both"/>
        <w:rPr>
          <w:rFonts w:ascii="Times New Roman" w:hAnsi="Times New Roman"/>
          <w:sz w:val="24"/>
          <w:szCs w:val="24"/>
          <w:lang w:val="pt-PT"/>
        </w:rPr>
      </w:pPr>
    </w:p>
    <w:p w:rsidR="003634CD" w:rsidRPr="003634CD" w:rsidRDefault="003634CD" w:rsidP="003634CD">
      <w:pPr>
        <w:spacing w:after="0" w:line="240" w:lineRule="auto"/>
        <w:jc w:val="both"/>
        <w:rPr>
          <w:rFonts w:ascii="Times New Roman" w:hAnsi="Times New Roman"/>
          <w:sz w:val="24"/>
          <w:szCs w:val="24"/>
          <w:lang w:val="pt-PT"/>
        </w:rPr>
      </w:pPr>
      <w:r w:rsidRPr="003634CD">
        <w:rPr>
          <w:rFonts w:ascii="Times New Roman" w:hAnsi="Times New Roman"/>
          <w:sz w:val="24"/>
          <w:szCs w:val="24"/>
          <w:lang w:val="pt-PT"/>
        </w:rPr>
        <w:t>BIÉLER, Andre. A força oculta dos protestantes. São Paulo: Culrura Cristã, 1999.</w:t>
      </w:r>
    </w:p>
    <w:p w:rsidR="003634CD" w:rsidRPr="003634CD" w:rsidRDefault="003634CD" w:rsidP="003634CD">
      <w:pPr>
        <w:spacing w:after="0" w:line="240" w:lineRule="auto"/>
        <w:jc w:val="both"/>
        <w:rPr>
          <w:rFonts w:ascii="Times New Roman" w:hAnsi="Times New Roman"/>
          <w:sz w:val="24"/>
          <w:szCs w:val="24"/>
          <w:lang w:val="pt-PT"/>
        </w:rPr>
      </w:pPr>
    </w:p>
    <w:p w:rsidR="003634CD" w:rsidRPr="003634CD" w:rsidRDefault="003634CD" w:rsidP="003634CD">
      <w:pPr>
        <w:spacing w:after="0" w:line="240" w:lineRule="auto"/>
        <w:jc w:val="both"/>
        <w:rPr>
          <w:rFonts w:ascii="Times New Roman" w:hAnsi="Times New Roman"/>
          <w:sz w:val="24"/>
          <w:szCs w:val="24"/>
          <w:lang w:val="pt-PT"/>
        </w:rPr>
      </w:pPr>
      <w:r w:rsidRPr="003634CD">
        <w:rPr>
          <w:rFonts w:ascii="Times New Roman" w:hAnsi="Times New Roman"/>
          <w:sz w:val="24"/>
          <w:szCs w:val="24"/>
          <w:lang w:val="pt-PT"/>
        </w:rPr>
        <w:t>BOISSET, Jean. História do Protestantismo. São Paulo: Difusão Europeia do Livro, 1971.</w:t>
      </w:r>
    </w:p>
    <w:p w:rsidR="003634CD" w:rsidRPr="003634CD" w:rsidRDefault="003634CD" w:rsidP="003634CD">
      <w:pPr>
        <w:spacing w:after="0" w:line="240" w:lineRule="auto"/>
        <w:jc w:val="both"/>
        <w:rPr>
          <w:rFonts w:ascii="Times New Roman" w:hAnsi="Times New Roman"/>
          <w:sz w:val="24"/>
          <w:szCs w:val="24"/>
          <w:lang w:val="pt-PT"/>
        </w:rPr>
      </w:pPr>
    </w:p>
    <w:p w:rsidR="003634CD" w:rsidRPr="003634CD" w:rsidRDefault="003634CD" w:rsidP="003634CD">
      <w:pPr>
        <w:spacing w:after="0" w:line="240" w:lineRule="auto"/>
        <w:jc w:val="both"/>
        <w:rPr>
          <w:rFonts w:ascii="Times New Roman" w:hAnsi="Times New Roman"/>
          <w:sz w:val="24"/>
          <w:szCs w:val="24"/>
          <w:lang w:val="pt-PT"/>
        </w:rPr>
      </w:pPr>
      <w:r w:rsidRPr="003634CD">
        <w:rPr>
          <w:rFonts w:ascii="Times New Roman" w:hAnsi="Times New Roman"/>
          <w:sz w:val="24"/>
          <w:szCs w:val="24"/>
          <w:lang w:val="pt-PT"/>
        </w:rPr>
        <w:t>BRUNEAU, Thomás C. Fundação: integração entre Igreja e Estado. In: Catolicismo Brasileiro em Época de Transição. São Paulo: Loyola, 1974.</w:t>
      </w:r>
    </w:p>
    <w:p w:rsidR="003634CD" w:rsidRPr="003634CD" w:rsidRDefault="003634CD" w:rsidP="003634CD">
      <w:pPr>
        <w:spacing w:after="0" w:line="240" w:lineRule="auto"/>
        <w:jc w:val="both"/>
        <w:rPr>
          <w:rFonts w:ascii="Times New Roman" w:hAnsi="Times New Roman"/>
          <w:sz w:val="24"/>
          <w:szCs w:val="24"/>
          <w:lang w:val="pt-PT"/>
        </w:rPr>
      </w:pPr>
    </w:p>
    <w:p w:rsidR="003634CD" w:rsidRPr="003634CD" w:rsidRDefault="003634CD" w:rsidP="003634CD">
      <w:pPr>
        <w:spacing w:after="0" w:line="240" w:lineRule="auto"/>
        <w:jc w:val="both"/>
        <w:rPr>
          <w:rFonts w:ascii="Times New Roman" w:hAnsi="Times New Roman"/>
          <w:sz w:val="24"/>
          <w:szCs w:val="24"/>
          <w:lang w:val="pt-PT"/>
        </w:rPr>
      </w:pPr>
      <w:r w:rsidRPr="003634CD">
        <w:rPr>
          <w:rFonts w:ascii="Times New Roman" w:hAnsi="Times New Roman"/>
          <w:sz w:val="24"/>
          <w:szCs w:val="24"/>
          <w:lang w:val="pt-PT"/>
        </w:rPr>
        <w:t>RIBEIRO, Gladys Sabina &amp; PEREIRA, Vantuil. O primeiro Reinado em revisão. In.: GRINBERG, Keila &amp; SALES, Ricardo (Orgs.). O Brasil Imperial, Volume I: 1808–1831. Rio de Janeiro: Civilização Brasileira, 2009, pág. 137–175.</w:t>
      </w:r>
    </w:p>
    <w:p w:rsidR="003634CD" w:rsidRPr="003634CD" w:rsidRDefault="003634CD" w:rsidP="003634CD">
      <w:pPr>
        <w:spacing w:after="0" w:line="240" w:lineRule="auto"/>
        <w:jc w:val="both"/>
        <w:rPr>
          <w:rFonts w:ascii="Times New Roman" w:hAnsi="Times New Roman"/>
          <w:sz w:val="24"/>
          <w:szCs w:val="24"/>
        </w:rPr>
      </w:pPr>
    </w:p>
    <w:p w:rsidR="003634CD" w:rsidRPr="003634CD" w:rsidRDefault="003634CD" w:rsidP="003634CD">
      <w:pPr>
        <w:spacing w:after="0" w:line="240" w:lineRule="auto"/>
        <w:jc w:val="both"/>
        <w:rPr>
          <w:rFonts w:ascii="Times New Roman" w:hAnsi="Times New Roman"/>
          <w:sz w:val="24"/>
          <w:szCs w:val="24"/>
        </w:rPr>
      </w:pPr>
      <w:r w:rsidRPr="003634CD">
        <w:rPr>
          <w:rFonts w:ascii="Times New Roman" w:hAnsi="Times New Roman"/>
          <w:sz w:val="24"/>
          <w:szCs w:val="24"/>
        </w:rPr>
        <w:t>WILLIAMS, Raymond. Ideologia. In: WILLIAMS, Raymond. Palavras-chave: um vocabulário de cultura e sociedade. Tradução de Sandra Guardini Vasconcelos. São Paulo: Boitempo, 2007.</w:t>
      </w:r>
    </w:p>
    <w:p w:rsidR="003634CD" w:rsidRPr="003634CD" w:rsidRDefault="003634CD" w:rsidP="003634CD">
      <w:pPr>
        <w:spacing w:after="0" w:line="240" w:lineRule="auto"/>
        <w:jc w:val="both"/>
        <w:rPr>
          <w:rFonts w:ascii="Times New Roman" w:hAnsi="Times New Roman"/>
          <w:sz w:val="24"/>
          <w:szCs w:val="24"/>
        </w:rPr>
      </w:pPr>
    </w:p>
    <w:p w:rsidR="003634CD" w:rsidRPr="003634CD" w:rsidRDefault="003634CD" w:rsidP="003634CD">
      <w:pPr>
        <w:spacing w:after="0" w:line="240" w:lineRule="auto"/>
        <w:jc w:val="both"/>
        <w:rPr>
          <w:rFonts w:ascii="Times New Roman" w:hAnsi="Times New Roman"/>
          <w:sz w:val="24"/>
          <w:szCs w:val="24"/>
        </w:rPr>
      </w:pPr>
      <w:r w:rsidRPr="003634CD">
        <w:rPr>
          <w:rFonts w:ascii="Times New Roman" w:hAnsi="Times New Roman"/>
          <w:sz w:val="24"/>
          <w:szCs w:val="24"/>
        </w:rPr>
        <w:t>BOSI, Alfredo. Ideologia e Contraideologia: temas e variações. São Paulo: Companhia das Letras, 2010.</w:t>
      </w:r>
    </w:p>
    <w:p w:rsidR="003634CD" w:rsidRPr="003634CD" w:rsidRDefault="003634CD" w:rsidP="003634CD">
      <w:pPr>
        <w:spacing w:after="0" w:line="240" w:lineRule="auto"/>
        <w:jc w:val="both"/>
        <w:rPr>
          <w:rFonts w:ascii="Times New Roman" w:hAnsi="Times New Roman"/>
          <w:sz w:val="24"/>
          <w:szCs w:val="24"/>
          <w:lang w:val="pt-PT"/>
        </w:rPr>
      </w:pPr>
    </w:p>
    <w:p w:rsidR="003634CD" w:rsidRPr="003634CD" w:rsidRDefault="003634CD" w:rsidP="003634CD">
      <w:pPr>
        <w:spacing w:after="0" w:line="240" w:lineRule="auto"/>
        <w:jc w:val="both"/>
        <w:rPr>
          <w:rFonts w:ascii="Times New Roman" w:hAnsi="Times New Roman"/>
          <w:sz w:val="24"/>
          <w:szCs w:val="24"/>
          <w:lang w:val="pt-PT"/>
        </w:rPr>
      </w:pPr>
      <w:r w:rsidRPr="003634CD">
        <w:rPr>
          <w:rFonts w:ascii="Times New Roman" w:hAnsi="Times New Roman"/>
          <w:sz w:val="24"/>
          <w:szCs w:val="24"/>
          <w:lang w:val="pt-PT"/>
        </w:rPr>
        <w:t>MENDONÇA, Antônio Gouvêa. O protestantismo no Brasil e suas encruzilhadas. In.: Revista USP. São Paulo, nº 67, 2005, pág. 49–67.</w:t>
      </w:r>
    </w:p>
    <w:p w:rsidR="003634CD" w:rsidRPr="003634CD" w:rsidRDefault="003634CD" w:rsidP="003634CD">
      <w:pPr>
        <w:spacing w:after="0" w:line="240" w:lineRule="auto"/>
        <w:jc w:val="both"/>
        <w:rPr>
          <w:rFonts w:ascii="Times New Roman" w:hAnsi="Times New Roman"/>
          <w:sz w:val="24"/>
          <w:szCs w:val="24"/>
          <w:lang w:val="pt-PT"/>
        </w:rPr>
      </w:pPr>
    </w:p>
    <w:p w:rsidR="003634CD" w:rsidRPr="003634CD" w:rsidRDefault="003634CD" w:rsidP="003634CD">
      <w:pPr>
        <w:spacing w:after="0" w:line="240" w:lineRule="auto"/>
        <w:jc w:val="both"/>
        <w:rPr>
          <w:rFonts w:ascii="Times New Roman" w:hAnsi="Times New Roman"/>
          <w:sz w:val="24"/>
          <w:szCs w:val="24"/>
          <w:lang w:val="pt-PT"/>
        </w:rPr>
      </w:pPr>
      <w:r w:rsidRPr="003634CD">
        <w:rPr>
          <w:rFonts w:ascii="Times New Roman" w:hAnsi="Times New Roman"/>
          <w:sz w:val="24"/>
          <w:szCs w:val="24"/>
          <w:lang w:val="pt-PT"/>
        </w:rPr>
        <w:t>DUNSTAN, J. Leslie. Protestantismo. Rio de Janeiro: Zahar, 1964.</w:t>
      </w:r>
    </w:p>
    <w:p w:rsidR="003634CD" w:rsidRPr="003634CD" w:rsidRDefault="003634CD" w:rsidP="003634CD">
      <w:pPr>
        <w:spacing w:after="0" w:line="240" w:lineRule="auto"/>
        <w:jc w:val="both"/>
        <w:rPr>
          <w:rFonts w:ascii="Times New Roman" w:hAnsi="Times New Roman"/>
          <w:sz w:val="24"/>
          <w:szCs w:val="24"/>
          <w:lang w:val="pt-PT"/>
        </w:rPr>
      </w:pPr>
    </w:p>
    <w:p w:rsidR="003634CD" w:rsidRPr="003634CD" w:rsidRDefault="003634CD" w:rsidP="003634CD">
      <w:pPr>
        <w:spacing w:after="0" w:line="240" w:lineRule="auto"/>
        <w:jc w:val="both"/>
        <w:rPr>
          <w:rFonts w:ascii="Times New Roman" w:hAnsi="Times New Roman"/>
          <w:sz w:val="24"/>
          <w:szCs w:val="24"/>
        </w:rPr>
      </w:pPr>
      <w:r w:rsidRPr="003634CD">
        <w:rPr>
          <w:rFonts w:ascii="Times New Roman" w:hAnsi="Times New Roman"/>
          <w:sz w:val="24"/>
          <w:szCs w:val="24"/>
          <w:lang w:val="pt-PT"/>
        </w:rPr>
        <w:t>CAVALCANTI, Robinson. Cristianismo &amp; Política: teoria bíblica e prática histórica. São Paulo: Nascente, 1985.</w:t>
      </w:r>
    </w:p>
    <w:p w:rsidR="003634CD" w:rsidRPr="003634CD" w:rsidRDefault="003634CD" w:rsidP="003634CD">
      <w:pPr>
        <w:pStyle w:val="Textodenotadefim"/>
        <w:spacing w:after="0" w:line="240" w:lineRule="auto"/>
        <w:jc w:val="both"/>
        <w:rPr>
          <w:rFonts w:ascii="Times New Roman" w:hAnsi="Times New Roman"/>
        </w:rPr>
      </w:pPr>
    </w:p>
    <w:p w:rsidR="003634CD" w:rsidRPr="003634CD" w:rsidRDefault="003634CD" w:rsidP="003634CD">
      <w:pPr>
        <w:spacing w:after="0" w:line="240" w:lineRule="auto"/>
        <w:jc w:val="both"/>
        <w:rPr>
          <w:rFonts w:ascii="Times New Roman" w:hAnsi="Times New Roman"/>
          <w:sz w:val="24"/>
          <w:szCs w:val="24"/>
        </w:rPr>
      </w:pPr>
      <w:r w:rsidRPr="003634CD">
        <w:rPr>
          <w:rFonts w:ascii="Times New Roman" w:hAnsi="Times New Roman"/>
          <w:sz w:val="24"/>
          <w:szCs w:val="24"/>
        </w:rPr>
        <w:t>FONTES CITADAS</w:t>
      </w:r>
    </w:p>
    <w:p w:rsidR="003634CD" w:rsidRPr="003634CD" w:rsidRDefault="003634CD" w:rsidP="003634CD">
      <w:pPr>
        <w:spacing w:after="0" w:line="240" w:lineRule="auto"/>
        <w:jc w:val="both"/>
        <w:rPr>
          <w:rFonts w:ascii="Times New Roman" w:hAnsi="Times New Roman"/>
          <w:sz w:val="24"/>
          <w:szCs w:val="24"/>
        </w:rPr>
      </w:pPr>
    </w:p>
    <w:p w:rsidR="003634CD" w:rsidRPr="003634CD" w:rsidRDefault="003634CD" w:rsidP="003634CD">
      <w:pPr>
        <w:spacing w:after="0" w:line="240" w:lineRule="auto"/>
        <w:jc w:val="both"/>
        <w:rPr>
          <w:rFonts w:ascii="Times New Roman" w:hAnsi="Times New Roman"/>
          <w:sz w:val="24"/>
          <w:szCs w:val="24"/>
        </w:rPr>
      </w:pPr>
      <w:r w:rsidRPr="003634CD">
        <w:rPr>
          <w:rFonts w:ascii="Times New Roman" w:hAnsi="Times New Roman"/>
          <w:sz w:val="24"/>
          <w:szCs w:val="24"/>
        </w:rPr>
        <w:t>Diário da Assembleia Geral, Constituinte e Legislativa do Brasil – 1823. Introdução de Pedro Calmom, (ed. fac-similar). Brasília: Senado Federal, Conselho Editorial, 2003, v. 1.</w:t>
      </w:r>
    </w:p>
    <w:p w:rsidR="003634CD" w:rsidRPr="003634CD" w:rsidRDefault="003634CD" w:rsidP="003634CD">
      <w:pPr>
        <w:spacing w:after="0" w:line="240" w:lineRule="auto"/>
        <w:jc w:val="both"/>
        <w:rPr>
          <w:rFonts w:ascii="Times New Roman" w:hAnsi="Times New Roman"/>
          <w:sz w:val="24"/>
          <w:szCs w:val="24"/>
        </w:rPr>
      </w:pPr>
    </w:p>
    <w:p w:rsidR="003634CD" w:rsidRPr="003634CD" w:rsidRDefault="003634CD" w:rsidP="003634CD">
      <w:pPr>
        <w:spacing w:after="0" w:line="240" w:lineRule="auto"/>
        <w:jc w:val="both"/>
        <w:rPr>
          <w:rFonts w:ascii="Times New Roman" w:hAnsi="Times New Roman"/>
          <w:sz w:val="24"/>
          <w:szCs w:val="24"/>
        </w:rPr>
      </w:pPr>
      <w:r w:rsidRPr="003634CD">
        <w:rPr>
          <w:rFonts w:ascii="Times New Roman" w:hAnsi="Times New Roman"/>
          <w:sz w:val="24"/>
          <w:szCs w:val="24"/>
        </w:rPr>
        <w:t>ALVERNE, Francisco do Monte. Panegyrico de S. Pedro de Alcântara. In.: Obras Oratórias. Tomo Seugundo. Rio de Janeiro: Garnier, s/d.</w:t>
      </w:r>
    </w:p>
    <w:p w:rsidR="003634CD" w:rsidRPr="003E6C9B" w:rsidRDefault="003634CD" w:rsidP="003634CD">
      <w:pPr>
        <w:spacing w:after="0" w:line="240" w:lineRule="auto"/>
        <w:jc w:val="both"/>
        <w:rPr>
          <w:rFonts w:ascii="Times New Roman" w:hAnsi="Times New Roman"/>
          <w:sz w:val="24"/>
          <w:szCs w:val="24"/>
        </w:rPr>
      </w:pPr>
    </w:p>
    <w:p w:rsidR="003634CD" w:rsidRDefault="003634CD" w:rsidP="00593DB2">
      <w:pPr>
        <w:pStyle w:val="Textodenotadefim"/>
        <w:spacing w:after="0" w:line="240" w:lineRule="auto"/>
        <w:jc w:val="both"/>
        <w:rPr>
          <w:rFonts w:ascii="Times New Roman" w:hAnsi="Times New Roman"/>
          <w:b/>
          <w:sz w:val="24"/>
          <w:szCs w:val="24"/>
        </w:rPr>
      </w:pPr>
    </w:p>
    <w:p w:rsidR="003634CD" w:rsidRDefault="003634CD" w:rsidP="00593DB2">
      <w:pPr>
        <w:pStyle w:val="Textodenotadefim"/>
        <w:spacing w:after="0" w:line="240" w:lineRule="auto"/>
        <w:jc w:val="both"/>
        <w:rPr>
          <w:rFonts w:ascii="Times New Roman" w:hAnsi="Times New Roman"/>
          <w:b/>
          <w:sz w:val="24"/>
          <w:szCs w:val="24"/>
        </w:rPr>
      </w:pPr>
      <w:r>
        <w:rPr>
          <w:rFonts w:ascii="Times New Roman" w:hAnsi="Times New Roman"/>
          <w:b/>
          <w:sz w:val="24"/>
          <w:szCs w:val="24"/>
        </w:rPr>
        <w:t>-----------------------------------------------------------------</w:t>
      </w:r>
    </w:p>
    <w:p w:rsidR="003634CD" w:rsidRDefault="003634CD" w:rsidP="00593DB2">
      <w:pPr>
        <w:pStyle w:val="Textodenotadefim"/>
        <w:spacing w:after="0" w:line="240" w:lineRule="auto"/>
        <w:jc w:val="both"/>
        <w:rPr>
          <w:rFonts w:ascii="Times New Roman" w:hAnsi="Times New Roman"/>
          <w:b/>
          <w:sz w:val="24"/>
          <w:szCs w:val="24"/>
        </w:rPr>
      </w:pPr>
    </w:p>
    <w:p w:rsidR="00593DB2" w:rsidRPr="00897FD5" w:rsidRDefault="00593DB2" w:rsidP="00593DB2">
      <w:pPr>
        <w:pStyle w:val="Textodenotadefim"/>
        <w:spacing w:after="0" w:line="240" w:lineRule="auto"/>
        <w:jc w:val="both"/>
        <w:rPr>
          <w:rFonts w:ascii="Times New Roman" w:hAnsi="Times New Roman"/>
        </w:rPr>
      </w:pPr>
      <w:r w:rsidRPr="00897FD5">
        <w:rPr>
          <w:rStyle w:val="Refdenotadefim"/>
          <w:rFonts w:ascii="Times New Roman" w:hAnsi="Times New Roman"/>
        </w:rPr>
        <w:endnoteRef/>
      </w:r>
      <w:r w:rsidRPr="00897FD5">
        <w:rPr>
          <w:rFonts w:ascii="Times New Roman" w:hAnsi="Times New Roman"/>
        </w:rPr>
        <w:t xml:space="preserve"> Como estamos falando acerca do Império do Brasil, leia-se </w:t>
      </w:r>
      <w:r w:rsidRPr="00897FD5">
        <w:rPr>
          <w:rFonts w:ascii="Times New Roman" w:hAnsi="Times New Roman"/>
          <w:i/>
        </w:rPr>
        <w:t>religião</w:t>
      </w:r>
      <w:r w:rsidRPr="00897FD5">
        <w:rPr>
          <w:rFonts w:ascii="Times New Roman" w:hAnsi="Times New Roman"/>
        </w:rPr>
        <w:t xml:space="preserve"> aqui nestas linhas como sendo o Catolicismo Apostólico Romano.</w:t>
      </w:r>
    </w:p>
  </w:endnote>
  <w:endnote w:id="4">
    <w:p w:rsidR="00593DB2" w:rsidRPr="00897FD5" w:rsidRDefault="00593DB2" w:rsidP="00593DB2">
      <w:pPr>
        <w:pStyle w:val="Textodenotadefim"/>
        <w:spacing w:after="0" w:line="240" w:lineRule="auto"/>
        <w:jc w:val="both"/>
        <w:rPr>
          <w:rFonts w:ascii="Times New Roman" w:hAnsi="Times New Roman"/>
        </w:rPr>
      </w:pPr>
      <w:r w:rsidRPr="00897FD5">
        <w:rPr>
          <w:rStyle w:val="Refdenotadefim"/>
          <w:rFonts w:ascii="Times New Roman" w:hAnsi="Times New Roman"/>
        </w:rPr>
        <w:endnoteRef/>
      </w:r>
      <w:r w:rsidRPr="00897FD5">
        <w:rPr>
          <w:rFonts w:ascii="Times New Roman" w:hAnsi="Times New Roman"/>
        </w:rPr>
        <w:t xml:space="preserve"> Para averiguar melhor as informações fornecidas, Cf. GRINBERG, Keila e SALES, Ricardo (orgs.). </w:t>
      </w:r>
      <w:r w:rsidRPr="00897FD5">
        <w:rPr>
          <w:rFonts w:ascii="Times New Roman" w:hAnsi="Times New Roman"/>
          <w:b/>
        </w:rPr>
        <w:t>O Brasil Imperial</w:t>
      </w:r>
      <w:r w:rsidRPr="00897FD5">
        <w:rPr>
          <w:rFonts w:ascii="Times New Roman" w:hAnsi="Times New Roman"/>
        </w:rPr>
        <w:t>, Volume I (1808–1831). Rio de Janeiro: Civilização Brasileira, 2009</w:t>
      </w:r>
    </w:p>
  </w:endnote>
  <w:endnote w:id="5">
    <w:p w:rsidR="00593DB2" w:rsidRPr="00897FD5" w:rsidRDefault="00593DB2" w:rsidP="00593DB2">
      <w:pPr>
        <w:pStyle w:val="Textodenotadefim"/>
        <w:spacing w:after="0" w:line="240" w:lineRule="auto"/>
        <w:jc w:val="both"/>
        <w:rPr>
          <w:rFonts w:ascii="Times New Roman" w:hAnsi="Times New Roman"/>
        </w:rPr>
      </w:pPr>
      <w:r w:rsidRPr="00897FD5">
        <w:rPr>
          <w:rStyle w:val="Refdenotadefim"/>
          <w:rFonts w:ascii="Times New Roman" w:hAnsi="Times New Roman"/>
        </w:rPr>
        <w:endnoteRef/>
      </w:r>
      <w:r w:rsidRPr="00897FD5">
        <w:rPr>
          <w:rFonts w:ascii="Times New Roman" w:hAnsi="Times New Roman"/>
        </w:rPr>
        <w:t xml:space="preserve"> </w:t>
      </w:r>
      <w:r w:rsidRPr="00897FD5">
        <w:rPr>
          <w:rFonts w:ascii="Times New Roman" w:hAnsi="Times New Roman"/>
          <w:b/>
        </w:rPr>
        <w:t>Diário da Assembleia Geral Constituinte e Legislativa do Império do Brasil</w:t>
      </w:r>
      <w:r w:rsidRPr="00897FD5">
        <w:rPr>
          <w:rFonts w:ascii="Times New Roman" w:hAnsi="Times New Roman"/>
        </w:rPr>
        <w:t>, 1823, citado, Vol. I, pág. 5. Grifo nosso.</w:t>
      </w:r>
    </w:p>
  </w:endnote>
  <w:endnote w:id="6">
    <w:p w:rsidR="00593DB2" w:rsidRPr="00897FD5" w:rsidRDefault="00593DB2" w:rsidP="00593DB2">
      <w:pPr>
        <w:pStyle w:val="Textodenotadefim"/>
        <w:spacing w:after="0" w:line="240" w:lineRule="auto"/>
        <w:jc w:val="both"/>
        <w:rPr>
          <w:rFonts w:ascii="Times New Roman" w:hAnsi="Times New Roman"/>
        </w:rPr>
      </w:pPr>
      <w:r w:rsidRPr="00897FD5">
        <w:rPr>
          <w:rStyle w:val="Refdenotadefim"/>
          <w:rFonts w:ascii="Times New Roman" w:hAnsi="Times New Roman"/>
        </w:rPr>
        <w:endnoteRef/>
      </w:r>
      <w:r w:rsidRPr="00897FD5">
        <w:rPr>
          <w:rFonts w:ascii="Times New Roman" w:hAnsi="Times New Roman"/>
        </w:rPr>
        <w:t xml:space="preserve"> Idem, pág. 6</w:t>
      </w:r>
    </w:p>
  </w:endnote>
  <w:endnote w:id="7">
    <w:p w:rsidR="00593DB2" w:rsidRPr="00897FD5" w:rsidRDefault="00593DB2" w:rsidP="00593DB2">
      <w:pPr>
        <w:pStyle w:val="Textodenotadefim"/>
        <w:spacing w:after="0" w:line="240" w:lineRule="auto"/>
        <w:jc w:val="both"/>
        <w:rPr>
          <w:rFonts w:ascii="Times New Roman" w:hAnsi="Times New Roman"/>
        </w:rPr>
      </w:pPr>
      <w:r w:rsidRPr="00897FD5">
        <w:rPr>
          <w:rStyle w:val="Refdenotadefim"/>
          <w:rFonts w:ascii="Times New Roman" w:hAnsi="Times New Roman"/>
        </w:rPr>
        <w:endnoteRef/>
      </w:r>
      <w:r w:rsidRPr="00897FD5">
        <w:rPr>
          <w:rFonts w:ascii="Times New Roman" w:hAnsi="Times New Roman"/>
        </w:rPr>
        <w:t xml:space="preserve"> Eaglaton dá um exemplo disso: “Se os membros de um grupo político dissidente dizem entre si, “Podemos derrubar o governo”, trata-se, nesse caso, de um fragmento de discurso político; se dizem isso ao governo, torna-se imediatamente ideológico (no sentido amplo do termo), visto que a elocução entrou agora na arena da luta discursiva” (EAGLATON, 1997, pág. 24)</w:t>
      </w:r>
    </w:p>
  </w:endnote>
  <w:endnote w:id="8">
    <w:p w:rsidR="00593DB2" w:rsidRPr="00897FD5" w:rsidRDefault="00593DB2" w:rsidP="00593DB2">
      <w:pPr>
        <w:pStyle w:val="Textodenotadefim"/>
        <w:spacing w:after="0" w:line="240" w:lineRule="auto"/>
        <w:jc w:val="both"/>
        <w:rPr>
          <w:rFonts w:ascii="Times New Roman" w:hAnsi="Times New Roman"/>
        </w:rPr>
      </w:pPr>
      <w:r w:rsidRPr="00897FD5">
        <w:rPr>
          <w:rStyle w:val="Refdenotadefim"/>
          <w:rFonts w:ascii="Times New Roman" w:hAnsi="Times New Roman"/>
        </w:rPr>
        <w:endnoteRef/>
      </w:r>
      <w:r w:rsidRPr="00897FD5">
        <w:rPr>
          <w:rFonts w:ascii="Times New Roman" w:hAnsi="Times New Roman"/>
        </w:rPr>
        <w:t xml:space="preserve"> </w:t>
      </w:r>
      <w:r w:rsidRPr="00897FD5">
        <w:rPr>
          <w:rFonts w:ascii="Times New Roman" w:hAnsi="Times New Roman"/>
          <w:b/>
        </w:rPr>
        <w:t>Diário da Assembleia Geral Constituinte e Legislativa do Império do Brasil</w:t>
      </w:r>
      <w:r w:rsidRPr="00897FD5">
        <w:rPr>
          <w:rFonts w:ascii="Times New Roman" w:hAnsi="Times New Roman"/>
        </w:rPr>
        <w:t>, 1823, citado, Vol. I, pág. 3. Grifo nosso.</w:t>
      </w:r>
    </w:p>
  </w:endnote>
  <w:endnote w:id="9">
    <w:p w:rsidR="00593DB2" w:rsidRPr="00897FD5" w:rsidRDefault="00593DB2" w:rsidP="00593DB2">
      <w:pPr>
        <w:pStyle w:val="Textodenotadefim"/>
        <w:spacing w:after="0" w:line="240" w:lineRule="auto"/>
        <w:jc w:val="both"/>
        <w:rPr>
          <w:rFonts w:ascii="Times New Roman" w:hAnsi="Times New Roman"/>
        </w:rPr>
      </w:pPr>
      <w:r w:rsidRPr="00897FD5">
        <w:rPr>
          <w:rStyle w:val="Refdenotadefim"/>
          <w:rFonts w:ascii="Times New Roman" w:hAnsi="Times New Roman"/>
        </w:rPr>
        <w:endnoteRef/>
      </w:r>
      <w:r w:rsidRPr="00897FD5">
        <w:rPr>
          <w:rFonts w:ascii="Times New Roman" w:hAnsi="Times New Roman"/>
        </w:rPr>
        <w:t xml:space="preserve"> Por mais que a idéia de Nação brasileira seja bastante complexa e, de acordo com alguns autores, ela seja uma concepção admitida só a partir da segunda metade do século XIX, preferimos manter este termo pelo fato do mesmo constar nas atas dos Diários da Assembleia Constituinte de 1823.</w:t>
      </w:r>
    </w:p>
  </w:endnote>
  <w:endnote w:id="10">
    <w:p w:rsidR="00593DB2" w:rsidRPr="00897FD5" w:rsidRDefault="00593DB2" w:rsidP="00593DB2">
      <w:pPr>
        <w:pStyle w:val="Textodenotadefim"/>
        <w:spacing w:after="0" w:line="240" w:lineRule="auto"/>
        <w:jc w:val="both"/>
        <w:rPr>
          <w:rFonts w:ascii="Times New Roman" w:hAnsi="Times New Roman"/>
        </w:rPr>
      </w:pPr>
      <w:r w:rsidRPr="00897FD5">
        <w:rPr>
          <w:rStyle w:val="Refdenotadefim"/>
          <w:rFonts w:ascii="Times New Roman" w:hAnsi="Times New Roman"/>
        </w:rPr>
        <w:endnoteRef/>
      </w:r>
      <w:r w:rsidRPr="00897FD5">
        <w:rPr>
          <w:rFonts w:ascii="Times New Roman" w:hAnsi="Times New Roman"/>
        </w:rPr>
        <w:t xml:space="preserve"> </w:t>
      </w:r>
      <w:r w:rsidRPr="00897FD5">
        <w:rPr>
          <w:rFonts w:ascii="Times New Roman" w:hAnsi="Times New Roman"/>
          <w:b/>
        </w:rPr>
        <w:t>Diário da Assembleia Geral Constituinte e Legislativa do Império do Brasil</w:t>
      </w:r>
      <w:r w:rsidRPr="00897FD5">
        <w:rPr>
          <w:rFonts w:ascii="Times New Roman" w:hAnsi="Times New Roman"/>
        </w:rPr>
        <w:t>, 1823, citado, Vol. I, pág. 8</w:t>
      </w:r>
    </w:p>
  </w:endnote>
  <w:endnote w:id="11">
    <w:p w:rsidR="00593DB2" w:rsidRPr="00897FD5" w:rsidRDefault="00593DB2" w:rsidP="00593DB2">
      <w:pPr>
        <w:pStyle w:val="Textodenotadefim"/>
        <w:spacing w:after="0" w:line="240" w:lineRule="auto"/>
        <w:jc w:val="both"/>
        <w:rPr>
          <w:rFonts w:ascii="Times New Roman" w:hAnsi="Times New Roman"/>
        </w:rPr>
      </w:pPr>
      <w:r w:rsidRPr="00897FD5">
        <w:rPr>
          <w:rStyle w:val="Refdenotadefim"/>
          <w:rFonts w:ascii="Times New Roman" w:hAnsi="Times New Roman"/>
        </w:rPr>
        <w:endnoteRef/>
      </w:r>
      <w:r w:rsidRPr="00897FD5">
        <w:rPr>
          <w:rFonts w:ascii="Times New Roman" w:hAnsi="Times New Roman"/>
        </w:rPr>
        <w:t xml:space="preserve"> </w:t>
      </w:r>
      <w:r w:rsidRPr="0065765D">
        <w:rPr>
          <w:rFonts w:ascii="Times New Roman" w:hAnsi="Times New Roman"/>
        </w:rPr>
        <w:t>Idem</w:t>
      </w:r>
      <w:r w:rsidRPr="00897FD5">
        <w:rPr>
          <w:rFonts w:ascii="Times New Roman" w:hAnsi="Times New Roman"/>
        </w:rPr>
        <w:t>, pág. 9. Grifo nosso.</w:t>
      </w:r>
    </w:p>
  </w:endnote>
  <w:endnote w:id="12">
    <w:p w:rsidR="00593DB2" w:rsidRPr="00897FD5" w:rsidRDefault="00593DB2" w:rsidP="00593DB2">
      <w:pPr>
        <w:pStyle w:val="Textodenotadefim"/>
        <w:spacing w:after="0" w:line="240" w:lineRule="auto"/>
        <w:jc w:val="both"/>
        <w:rPr>
          <w:rFonts w:ascii="Times New Roman" w:hAnsi="Times New Roman"/>
        </w:rPr>
      </w:pPr>
      <w:r w:rsidRPr="00897FD5">
        <w:rPr>
          <w:rStyle w:val="Refdenotadefim"/>
          <w:rFonts w:ascii="Times New Roman" w:hAnsi="Times New Roman"/>
        </w:rPr>
        <w:endnoteRef/>
      </w:r>
      <w:r w:rsidRPr="00897FD5">
        <w:rPr>
          <w:rFonts w:ascii="Times New Roman" w:hAnsi="Times New Roman"/>
        </w:rPr>
        <w:t xml:space="preserve"> Ou liberdade de consciência individual. Uma concepção muito próxima a ideologia da Reforma Protestante, tendo em vista que uma das principais doutrinas reformadas era a do Sacerdócio Universal, que conferia ao fiel total autonomia para que o mesmo estabeleça suas relações com o Divino sem a mediação de qualquer Sacerdote. Esta ideia foi importada para as relações políticas. Concepção essa que segundo alguns autores, como André Biéler, influenciou na formação da Democracia Moderna. Biéler cita: “O princípio do sacerdócio universal estará na base da concepção democrática da Igreja, primeiro, e da cidade, depois, quando os protestantes terão dele apreendido todo o significado religioso e político” (BIÉLER, 1999, 52)</w:t>
      </w:r>
    </w:p>
  </w:endnote>
  <w:endnote w:id="13">
    <w:p w:rsidR="00593DB2" w:rsidRPr="00897FD5" w:rsidRDefault="00593DB2" w:rsidP="00593DB2">
      <w:pPr>
        <w:pStyle w:val="Textodenotadefim"/>
        <w:spacing w:after="0" w:line="240" w:lineRule="auto"/>
        <w:jc w:val="both"/>
        <w:rPr>
          <w:rFonts w:ascii="Times New Roman" w:hAnsi="Times New Roman"/>
        </w:rPr>
      </w:pPr>
      <w:r w:rsidRPr="00897FD5">
        <w:rPr>
          <w:rStyle w:val="Refdenotadefim"/>
          <w:rFonts w:ascii="Times New Roman" w:hAnsi="Times New Roman"/>
        </w:rPr>
        <w:endnoteRef/>
      </w:r>
      <w:r w:rsidRPr="00897FD5">
        <w:rPr>
          <w:rFonts w:ascii="Times New Roman" w:hAnsi="Times New Roman"/>
        </w:rPr>
        <w:t xml:space="preserve"> Alverne, Francisco do Monte. </w:t>
      </w:r>
      <w:r w:rsidRPr="00897FD5">
        <w:rPr>
          <w:rFonts w:ascii="Times New Roman" w:hAnsi="Times New Roman"/>
          <w:b/>
        </w:rPr>
        <w:t>Panegyrico de S. Pedro de Alcântara</w:t>
      </w:r>
      <w:r w:rsidRPr="00897FD5">
        <w:rPr>
          <w:rFonts w:ascii="Times New Roman" w:hAnsi="Times New Roman"/>
        </w:rPr>
        <w:t>. In.: Obras Oratórias. Tomo Seugundo. Rio de Janeiro: Garnier, s/d.</w:t>
      </w:r>
      <w:r>
        <w:rPr>
          <w:rFonts w:ascii="Times New Roman" w:hAnsi="Times New Roman"/>
        </w:rPr>
        <w:t xml:space="preserve"> Grifo nosso.</w:t>
      </w:r>
    </w:p>
  </w:endnote>
  <w:endnote w:id="14">
    <w:p w:rsidR="00593DB2" w:rsidRPr="00897FD5" w:rsidRDefault="00593DB2" w:rsidP="00593DB2">
      <w:pPr>
        <w:pStyle w:val="Textodenotadefim"/>
        <w:spacing w:after="0" w:line="240" w:lineRule="auto"/>
        <w:jc w:val="both"/>
        <w:rPr>
          <w:rFonts w:ascii="Times New Roman" w:hAnsi="Times New Roman"/>
        </w:rPr>
      </w:pPr>
      <w:r w:rsidRPr="00897FD5">
        <w:rPr>
          <w:rStyle w:val="Refdenotadefim"/>
          <w:rFonts w:ascii="Times New Roman" w:hAnsi="Times New Roman"/>
        </w:rPr>
        <w:endnoteRef/>
      </w:r>
      <w:r w:rsidRPr="00897FD5">
        <w:rPr>
          <w:rFonts w:ascii="Times New Roman" w:hAnsi="Times New Roman"/>
        </w:rPr>
        <w:t xml:space="preserve"> </w:t>
      </w:r>
      <w:r w:rsidRPr="00897FD5">
        <w:rPr>
          <w:rFonts w:ascii="Times New Roman" w:hAnsi="Times New Roman"/>
          <w:b/>
        </w:rPr>
        <w:t>Diário da Assembleia Geral Constituinte e Legislativa do Império do Brasil</w:t>
      </w:r>
      <w:r w:rsidRPr="00897FD5">
        <w:rPr>
          <w:rFonts w:ascii="Times New Roman" w:hAnsi="Times New Roman"/>
        </w:rPr>
        <w:t>, 1823, citado, Vol. I, pág. 18. Grifo nosso.</w:t>
      </w:r>
    </w:p>
  </w:endnote>
  <w:endnote w:id="15">
    <w:p w:rsidR="00593DB2" w:rsidRPr="00897FD5" w:rsidRDefault="00593DB2" w:rsidP="00593DB2">
      <w:pPr>
        <w:pStyle w:val="Textodenotadefim"/>
        <w:spacing w:after="0" w:line="240" w:lineRule="auto"/>
        <w:jc w:val="both"/>
        <w:rPr>
          <w:rFonts w:ascii="Times New Roman" w:hAnsi="Times New Roman"/>
        </w:rPr>
      </w:pPr>
      <w:r w:rsidRPr="00897FD5">
        <w:rPr>
          <w:rStyle w:val="Refdenotadefim"/>
          <w:rFonts w:ascii="Times New Roman" w:hAnsi="Times New Roman"/>
        </w:rPr>
        <w:endnoteRef/>
      </w:r>
      <w:r w:rsidRPr="00897FD5">
        <w:rPr>
          <w:rFonts w:ascii="Times New Roman" w:hAnsi="Times New Roman"/>
        </w:rPr>
        <w:t xml:space="preserve"> </w:t>
      </w:r>
      <w:r w:rsidRPr="0065765D">
        <w:rPr>
          <w:rFonts w:ascii="Times New Roman" w:hAnsi="Times New Roman"/>
        </w:rPr>
        <w:t>Idem</w:t>
      </w:r>
      <w:r>
        <w:rPr>
          <w:rFonts w:ascii="Times New Roman" w:hAnsi="Times New Roman"/>
        </w:rPr>
        <w:t>,</w:t>
      </w:r>
      <w:r w:rsidRPr="00897FD5">
        <w:rPr>
          <w:rFonts w:ascii="Times New Roman" w:hAnsi="Times New Roman"/>
        </w:rPr>
        <w:t xml:space="preserve"> pág. 18. Grifo nosso</w:t>
      </w:r>
      <w:r>
        <w:rPr>
          <w:rFonts w:ascii="Times New Roman" w:hAnsi="Times New Roman"/>
        </w:rPr>
        <w:t>.</w:t>
      </w:r>
    </w:p>
  </w:endnote>
  <w:endnote w:id="16">
    <w:p w:rsidR="00593DB2" w:rsidRDefault="00593DB2" w:rsidP="00593DB2">
      <w:pPr>
        <w:pStyle w:val="Textodenotadefim"/>
        <w:spacing w:after="0" w:line="240" w:lineRule="auto"/>
        <w:jc w:val="both"/>
        <w:rPr>
          <w:rFonts w:ascii="Times New Roman" w:hAnsi="Times New Roman"/>
        </w:rPr>
      </w:pPr>
      <w:r w:rsidRPr="00897FD5">
        <w:rPr>
          <w:rStyle w:val="Refdenotadefim"/>
          <w:rFonts w:ascii="Times New Roman" w:hAnsi="Times New Roman"/>
        </w:rPr>
        <w:endnoteRef/>
      </w:r>
      <w:r w:rsidRPr="00897FD5">
        <w:rPr>
          <w:rFonts w:ascii="Times New Roman" w:hAnsi="Times New Roman"/>
        </w:rPr>
        <w:t xml:space="preserve"> </w:t>
      </w:r>
      <w:r>
        <w:rPr>
          <w:rFonts w:ascii="Times New Roman" w:hAnsi="Times New Roman"/>
        </w:rPr>
        <w:t>Idem,</w:t>
      </w:r>
      <w:r w:rsidRPr="00897FD5">
        <w:rPr>
          <w:rFonts w:ascii="Times New Roman" w:hAnsi="Times New Roman"/>
        </w:rPr>
        <w:t xml:space="preserve"> pág. 19</w:t>
      </w:r>
      <w:r>
        <w:rPr>
          <w:rFonts w:ascii="Times New Roman" w:hAnsi="Times New Roman"/>
        </w:rPr>
        <w:t>. Grifo nosso.</w:t>
      </w:r>
    </w:p>
    <w:p w:rsidR="00593DB2" w:rsidRDefault="00593DB2" w:rsidP="00593DB2">
      <w:pPr>
        <w:pStyle w:val="Textodenotadefim"/>
        <w:spacing w:after="0" w:line="240" w:lineRule="auto"/>
        <w:jc w:val="both"/>
        <w:rPr>
          <w:rFonts w:ascii="Times New Roman" w:hAnsi="Times New Roman"/>
        </w:rPr>
      </w:pPr>
    </w:p>
    <w:p w:rsidR="00593DB2" w:rsidRDefault="00593DB2" w:rsidP="00593DB2">
      <w:pPr>
        <w:pStyle w:val="Textodenotadefim"/>
        <w:spacing w:after="0" w:line="240" w:lineRule="auto"/>
        <w:jc w:val="both"/>
        <w:rPr>
          <w:rFonts w:ascii="Times New Roman" w:hAnsi="Times New Roman"/>
        </w:rPr>
      </w:pPr>
    </w:p>
    <w:p w:rsidR="00593DB2" w:rsidRPr="00897FD5" w:rsidRDefault="00593DB2" w:rsidP="00593DB2">
      <w:pPr>
        <w:pStyle w:val="Textodenotadefim"/>
        <w:spacing w:after="0" w:line="240" w:lineRule="auto"/>
        <w:jc w:val="both"/>
        <w:rPr>
          <w:rFonts w:ascii="Times New Roman" w:hAnsi="Times New Roman"/>
        </w:rPr>
      </w:pP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D1624" w:rsidRDefault="00DD1624" w:rsidP="00593DB2">
      <w:pPr>
        <w:spacing w:after="0" w:line="240" w:lineRule="auto"/>
      </w:pPr>
      <w:r>
        <w:separator/>
      </w:r>
    </w:p>
  </w:footnote>
  <w:footnote w:type="continuationSeparator" w:id="1">
    <w:p w:rsidR="00DD1624" w:rsidRDefault="00DD1624" w:rsidP="00593DB2">
      <w:pPr>
        <w:spacing w:after="0" w:line="240" w:lineRule="auto"/>
      </w:pPr>
      <w:r>
        <w:continuationSeparator/>
      </w:r>
    </w:p>
  </w:footnote>
  <w:footnote w:id="2">
    <w:p w:rsidR="00593DB2" w:rsidRPr="00B54DC5" w:rsidRDefault="00593DB2" w:rsidP="00593DB2">
      <w:pPr>
        <w:pStyle w:val="Textodenotaderodap"/>
        <w:jc w:val="both"/>
        <w:rPr>
          <w:rFonts w:ascii="Times New Roman" w:hAnsi="Times New Roman"/>
        </w:rPr>
      </w:pPr>
      <w:r>
        <w:rPr>
          <w:rStyle w:val="Refdenotaderodap"/>
        </w:rPr>
        <w:footnoteRef/>
      </w:r>
      <w:r>
        <w:t xml:space="preserve"> </w:t>
      </w:r>
      <w:r w:rsidRPr="00B54DC5">
        <w:rPr>
          <w:rStyle w:val="apple-style-span"/>
          <w:rFonts w:ascii="Times New Roman" w:hAnsi="Times New Roman"/>
          <w:color w:val="333333"/>
        </w:rPr>
        <w:t xml:space="preserve">Trabalho apresentado no XII Simpósio da ABHR, 31/05 – 03/06 de 2011, Juiz de Fora (MG), </w:t>
      </w:r>
      <w:r w:rsidR="00A3480E">
        <w:rPr>
          <w:rFonts w:ascii="Times New Roman" w:hAnsi="Times New Roman"/>
        </w:rPr>
        <w:t>GT 20</w:t>
      </w:r>
      <w:r w:rsidRPr="00B54DC5">
        <w:rPr>
          <w:rFonts w:ascii="Times New Roman" w:hAnsi="Times New Roman"/>
        </w:rPr>
        <w:t>: Religião e ordem legal</w:t>
      </w:r>
      <w:r>
        <w:rPr>
          <w:rFonts w:ascii="Times New Roman" w:hAnsi="Times New Roman"/>
        </w:rPr>
        <w:t>.</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numFmt w:val="decimal"/>
    <w:endnote w:id="0"/>
    <w:endnote w:id="1"/>
  </w:endnotePr>
  <w:compat/>
  <w:rsids>
    <w:rsidRoot w:val="00593DB2"/>
    <w:rsid w:val="000576F7"/>
    <w:rsid w:val="002A0C69"/>
    <w:rsid w:val="003634CD"/>
    <w:rsid w:val="00533B5A"/>
    <w:rsid w:val="00593DB2"/>
    <w:rsid w:val="005C2806"/>
    <w:rsid w:val="00766552"/>
    <w:rsid w:val="008D15B2"/>
    <w:rsid w:val="009E498B"/>
    <w:rsid w:val="00A22A1F"/>
    <w:rsid w:val="00A3480E"/>
    <w:rsid w:val="00C34AE9"/>
    <w:rsid w:val="00DD1624"/>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3DB2"/>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semiHidden/>
    <w:unhideWhenUsed/>
    <w:rsid w:val="00593DB2"/>
    <w:rPr>
      <w:sz w:val="20"/>
      <w:szCs w:val="20"/>
    </w:rPr>
  </w:style>
  <w:style w:type="character" w:customStyle="1" w:styleId="TextodenotaderodapChar">
    <w:name w:val="Texto de nota de rodapé Char"/>
    <w:basedOn w:val="Fontepargpadro"/>
    <w:link w:val="Textodenotaderodap"/>
    <w:uiPriority w:val="99"/>
    <w:semiHidden/>
    <w:rsid w:val="00593DB2"/>
    <w:rPr>
      <w:rFonts w:ascii="Calibri" w:eastAsia="Calibri" w:hAnsi="Calibri" w:cs="Times New Roman"/>
      <w:sz w:val="20"/>
      <w:szCs w:val="20"/>
    </w:rPr>
  </w:style>
  <w:style w:type="character" w:styleId="Refdenotaderodap">
    <w:name w:val="footnote reference"/>
    <w:uiPriority w:val="99"/>
    <w:semiHidden/>
    <w:unhideWhenUsed/>
    <w:rsid w:val="00593DB2"/>
    <w:rPr>
      <w:vertAlign w:val="superscript"/>
    </w:rPr>
  </w:style>
  <w:style w:type="character" w:customStyle="1" w:styleId="apple-style-span">
    <w:name w:val="apple-style-span"/>
    <w:rsid w:val="00593DB2"/>
  </w:style>
  <w:style w:type="paragraph" w:styleId="Textodenotadefim">
    <w:name w:val="endnote text"/>
    <w:basedOn w:val="Normal"/>
    <w:link w:val="TextodenotadefimChar"/>
    <w:uiPriority w:val="99"/>
    <w:semiHidden/>
    <w:unhideWhenUsed/>
    <w:rsid w:val="00593DB2"/>
    <w:rPr>
      <w:sz w:val="20"/>
      <w:szCs w:val="20"/>
    </w:rPr>
  </w:style>
  <w:style w:type="character" w:customStyle="1" w:styleId="TextodenotadefimChar">
    <w:name w:val="Texto de nota de fim Char"/>
    <w:basedOn w:val="Fontepargpadro"/>
    <w:link w:val="Textodenotadefim"/>
    <w:uiPriority w:val="99"/>
    <w:semiHidden/>
    <w:rsid w:val="00593DB2"/>
    <w:rPr>
      <w:rFonts w:ascii="Calibri" w:eastAsia="Calibri" w:hAnsi="Calibri" w:cs="Times New Roman"/>
      <w:sz w:val="20"/>
      <w:szCs w:val="20"/>
    </w:rPr>
  </w:style>
  <w:style w:type="character" w:styleId="Refdenotadefim">
    <w:name w:val="endnote reference"/>
    <w:uiPriority w:val="99"/>
    <w:semiHidden/>
    <w:unhideWhenUsed/>
    <w:rsid w:val="00593DB2"/>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4937</Words>
  <Characters>26661</Characters>
  <Application>Microsoft Office Word</Application>
  <DocSecurity>0</DocSecurity>
  <Lines>222</Lines>
  <Paragraphs>63</Paragraphs>
  <ScaleCrop>false</ScaleCrop>
  <Company>Hewlett-Packard</Company>
  <LinksUpToDate>false</LinksUpToDate>
  <CharactersWithSpaces>31535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Jesus</dc:creator>
  <cp:lastModifiedBy>laeg</cp:lastModifiedBy>
  <cp:revision>4</cp:revision>
  <dcterms:created xsi:type="dcterms:W3CDTF">2011-05-18T22:21:00Z</dcterms:created>
  <dcterms:modified xsi:type="dcterms:W3CDTF">2011-05-20T19:41:00Z</dcterms:modified>
</cp:coreProperties>
</file>